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1E8D" w14:textId="70646890" w:rsidR="00EC6A07" w:rsidRPr="00C068D7" w:rsidRDefault="002206A7" w:rsidP="001D2815">
      <w:pPr>
        <w:widowControl/>
        <w:ind w:left="432"/>
        <w:jc w:val="center"/>
        <w:rPr>
          <w:rFonts w:ascii="Times New Roman" w:hAnsi="Times New Roman"/>
          <w:b/>
          <w:bCs/>
          <w:color w:val="000000" w:themeColor="text1"/>
          <w:sz w:val="24"/>
          <w:szCs w:val="24"/>
        </w:rPr>
      </w:pPr>
      <w:r w:rsidRPr="00C068D7">
        <w:rPr>
          <w:rFonts w:ascii="Times New Roman" w:hAnsi="Times New Roman"/>
          <w:b/>
          <w:bCs/>
          <w:color w:val="000000" w:themeColor="text1"/>
          <w:sz w:val="24"/>
          <w:szCs w:val="24"/>
        </w:rPr>
        <w:t>Castillo v. G&amp;M Realty</w:t>
      </w:r>
    </w:p>
    <w:p w14:paraId="1CC3DC14" w14:textId="11C107BD" w:rsidR="00EC6A07" w:rsidRPr="00C068D7" w:rsidRDefault="00912D36" w:rsidP="001D2815">
      <w:pPr>
        <w:widowControl/>
        <w:ind w:left="432"/>
        <w:jc w:val="center"/>
        <w:rPr>
          <w:rFonts w:ascii="Times New Roman" w:hAnsi="Times New Roman"/>
          <w:color w:val="000000" w:themeColor="text1"/>
          <w:sz w:val="24"/>
          <w:szCs w:val="24"/>
        </w:rPr>
      </w:pPr>
      <w:r w:rsidRPr="00C068D7">
        <w:rPr>
          <w:rFonts w:ascii="Times New Roman" w:hAnsi="Times New Roman"/>
          <w:color w:val="000000" w:themeColor="text1"/>
          <w:sz w:val="24"/>
          <w:szCs w:val="24"/>
        </w:rPr>
        <w:t>United States Court of Appeals for the Second Circuit</w:t>
      </w:r>
    </w:p>
    <w:p w14:paraId="36B5EE8F" w14:textId="26C0CBDE" w:rsidR="005723C0" w:rsidRPr="00C068D7" w:rsidRDefault="00382C50" w:rsidP="001D2815">
      <w:pPr>
        <w:widowControl/>
        <w:spacing w:after="240"/>
        <w:ind w:left="432"/>
        <w:jc w:val="center"/>
        <w:rPr>
          <w:rFonts w:ascii="Times New Roman" w:hAnsi="Times New Roman"/>
          <w:color w:val="000000" w:themeColor="text1"/>
          <w:sz w:val="24"/>
          <w:szCs w:val="24"/>
        </w:rPr>
      </w:pPr>
      <w:r w:rsidRPr="00C068D7">
        <w:rPr>
          <w:rFonts w:ascii="Times New Roman" w:eastAsia="Times" w:hAnsi="Times New Roman" w:cs="Times"/>
          <w:color w:val="000000" w:themeColor="text1"/>
          <w:sz w:val="24"/>
          <w:szCs w:val="24"/>
        </w:rPr>
        <w:t>950 F.3d 155 </w:t>
      </w:r>
      <w:r w:rsidR="00912D36" w:rsidRPr="00C068D7">
        <w:rPr>
          <w:rFonts w:ascii="Times New Roman" w:hAnsi="Times New Roman"/>
          <w:color w:val="000000" w:themeColor="text1"/>
          <w:sz w:val="24"/>
          <w:szCs w:val="24"/>
        </w:rPr>
        <w:t>(</w:t>
      </w:r>
      <w:r w:rsidRPr="00C068D7">
        <w:rPr>
          <w:rFonts w:ascii="Times New Roman" w:hAnsi="Times New Roman"/>
          <w:color w:val="000000" w:themeColor="text1"/>
          <w:sz w:val="24"/>
          <w:szCs w:val="24"/>
        </w:rPr>
        <w:t>2020</w:t>
      </w:r>
      <w:r w:rsidR="00912D36" w:rsidRPr="00C068D7">
        <w:rPr>
          <w:rFonts w:ascii="Times New Roman" w:hAnsi="Times New Roman"/>
          <w:color w:val="000000" w:themeColor="text1"/>
          <w:sz w:val="24"/>
          <w:szCs w:val="24"/>
        </w:rPr>
        <w:t>)</w:t>
      </w:r>
    </w:p>
    <w:p w14:paraId="2B4C1EAF" w14:textId="77420F4C" w:rsidR="00912D36" w:rsidRPr="00C068D7" w:rsidRDefault="00382C50" w:rsidP="00382C50">
      <w:pPr>
        <w:pStyle w:val="FootnoteText"/>
        <w:widowControl/>
        <w:numPr>
          <w:ilvl w:val="0"/>
          <w:numId w:val="1"/>
        </w:numPr>
        <w:autoSpaceDE/>
        <w:autoSpaceDN/>
        <w:adjustRightInd/>
        <w:snapToGrid w:val="0"/>
        <w:spacing w:after="240"/>
        <w:ind w:left="720"/>
        <w:jc w:val="both"/>
        <w:rPr>
          <w:rFonts w:ascii="Times New Roman" w:hAnsi="Times New Roman"/>
          <w:color w:val="000000" w:themeColor="text1"/>
          <w:sz w:val="24"/>
          <w:szCs w:val="24"/>
        </w:rPr>
      </w:pPr>
      <w:r w:rsidRPr="00C068D7">
        <w:rPr>
          <w:rFonts w:ascii="Times New Roman" w:eastAsia="Times" w:hAnsi="Times New Roman" w:cs="Times"/>
          <w:color w:val="000000" w:themeColor="text1"/>
          <w:sz w:val="24"/>
        </w:rPr>
        <w:t>Before: PARKER, RAGGI, and LOHIER, Circuit Judges.</w:t>
      </w:r>
    </w:p>
    <w:p w14:paraId="79245B14" w14:textId="77777777"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r w:rsidRPr="00C068D7">
        <w:rPr>
          <w:rFonts w:ascii="Times New Roman" w:eastAsia="Times" w:hAnsi="Times New Roman" w:cs="Times"/>
          <w:color w:val="000000" w:themeColor="text1"/>
          <w:sz w:val="24"/>
        </w:rPr>
        <w:t>BARRINGTON D. PARKER, Circuit Judge:</w:t>
      </w:r>
    </w:p>
    <w:p w14:paraId="02C7088D" w14:textId="77777777"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0" w:name="Bookmark_para_5"/>
      <w:bookmarkEnd w:id="0"/>
      <w:r w:rsidRPr="00C068D7">
        <w:rPr>
          <w:rFonts w:ascii="Times New Roman" w:eastAsia="Times" w:hAnsi="Times New Roman" w:cs="Times"/>
          <w:color w:val="000000" w:themeColor="text1"/>
          <w:sz w:val="24"/>
        </w:rPr>
        <w:t xml:space="preserve">Defendants-Appellants G&amp;M Realty L.P., 22-50 Jackson Avenue Owners, L.P., 22-52 Jackson Avenue LLC, ACD </w:t>
      </w:r>
      <w:proofErr w:type="spellStart"/>
      <w:r w:rsidRPr="00C068D7">
        <w:rPr>
          <w:rFonts w:ascii="Times New Roman" w:eastAsia="Times" w:hAnsi="Times New Roman" w:cs="Times"/>
          <w:color w:val="000000" w:themeColor="text1"/>
          <w:sz w:val="24"/>
        </w:rPr>
        <w:t>Citiview</w:t>
      </w:r>
      <w:proofErr w:type="spellEnd"/>
      <w:r w:rsidRPr="00C068D7">
        <w:rPr>
          <w:rFonts w:ascii="Times New Roman" w:eastAsia="Times" w:hAnsi="Times New Roman" w:cs="Times"/>
          <w:color w:val="000000" w:themeColor="text1"/>
          <w:sz w:val="24"/>
        </w:rPr>
        <w:t xml:space="preserve"> Buildings, LLC, and Gerald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(collectively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appeal from a judgment of the United States District Court for the Eastern District of New York (Frederic Block, </w:t>
      </w:r>
      <w:r w:rsidRPr="00C068D7">
        <w:rPr>
          <w:rFonts w:ascii="Times New Roman" w:eastAsia="Times" w:hAnsi="Times New Roman" w:cs="Times"/>
          <w:i/>
          <w:color w:val="000000" w:themeColor="text1"/>
          <w:sz w:val="24"/>
        </w:rPr>
        <w:t>J</w:t>
      </w:r>
      <w:r w:rsidRPr="00C068D7">
        <w:rPr>
          <w:rFonts w:ascii="Times New Roman" w:eastAsia="Times" w:hAnsi="Times New Roman" w:cs="Times"/>
          <w:color w:val="000000" w:themeColor="text1"/>
          <w:sz w:val="24"/>
        </w:rPr>
        <w:t xml:space="preserve">.). The court concluded that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violated the </w:t>
      </w:r>
      <w:hyperlink r:id="rId7" w:history="1">
        <w:r w:rsidRPr="00C068D7">
          <w:rPr>
            <w:rFonts w:ascii="Times New Roman" w:eastAsia="Times" w:hAnsi="Times New Roman" w:cs="Times"/>
            <w:color w:val="000000" w:themeColor="text1"/>
            <w:sz w:val="24"/>
            <w:u w:val="single"/>
            <w:shd w:val="clear" w:color="auto" w:fill="FFFFFF"/>
          </w:rPr>
          <w:t>Visual Artists Rights Act of 1990</w:t>
        </w:r>
      </w:hyperlink>
      <w:r w:rsidRPr="00C068D7">
        <w:rPr>
          <w:rFonts w:ascii="Times New Roman" w:eastAsia="Times" w:hAnsi="Times New Roman" w:cs="Times"/>
          <w:color w:val="000000" w:themeColor="text1"/>
          <w:sz w:val="24"/>
        </w:rPr>
        <w:t xml:space="preserve">, </w:t>
      </w:r>
      <w:hyperlink r:id="rId8" w:history="1">
        <w:r w:rsidRPr="00C068D7">
          <w:rPr>
            <w:rFonts w:ascii="Times New Roman" w:eastAsia="Times" w:hAnsi="Times New Roman" w:cs="Times"/>
            <w:color w:val="000000" w:themeColor="text1"/>
            <w:sz w:val="24"/>
            <w:u w:val="single"/>
            <w:shd w:val="clear" w:color="auto" w:fill="FFFFFF"/>
          </w:rPr>
          <w:t>17 U.S.C. § 106A</w:t>
        </w:r>
      </w:hyperlink>
      <w:r w:rsidRPr="00C068D7">
        <w:rPr>
          <w:rFonts w:ascii="Times New Roman" w:eastAsia="Times" w:hAnsi="Times New Roman" w:cs="Times"/>
          <w:color w:val="000000" w:themeColor="text1"/>
          <w:sz w:val="24"/>
        </w:rPr>
        <w:t xml:space="preserve"> ("VARA"), by destroying artwork of Plaintiffs-Appellees, artists who created and displayed their work at the 5Pointz site in Long Island City, New York. We hold that the district court correctly concluded that the artwork created by Appellees was protected by VARA and that </w:t>
      </w:r>
      <w:proofErr w:type="spellStart"/>
      <w:r w:rsidRPr="00C068D7">
        <w:rPr>
          <w:rFonts w:ascii="Times New Roman" w:eastAsia="Times" w:hAnsi="Times New Roman" w:cs="Times"/>
          <w:color w:val="000000" w:themeColor="text1"/>
          <w:sz w:val="24"/>
        </w:rPr>
        <w:t>Wolkoff's</w:t>
      </w:r>
      <w:proofErr w:type="spellEnd"/>
      <w:r w:rsidRPr="00C068D7">
        <w:rPr>
          <w:rFonts w:ascii="Times New Roman" w:eastAsia="Times" w:hAnsi="Times New Roman" w:cs="Times"/>
          <w:color w:val="000000" w:themeColor="text1"/>
          <w:sz w:val="24"/>
        </w:rPr>
        <w:t xml:space="preserve"> violation of the statute was willful. Furthermore, the damages awarded involved no abuse of discretion. Accordingly, we affirm the judgment below.</w:t>
      </w:r>
    </w:p>
    <w:p w14:paraId="289FCD7C" w14:textId="1BC2C334"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1" w:name="Bookmark_para_6"/>
      <w:bookmarkEnd w:id="1"/>
      <w:r w:rsidRPr="00C068D7">
        <w:rPr>
          <w:rFonts w:ascii="Times New Roman" w:eastAsia="Times" w:hAnsi="Times New Roman" w:cs="Times"/>
          <w:color w:val="000000" w:themeColor="text1"/>
          <w:sz w:val="24"/>
        </w:rPr>
        <w:t xml:space="preserve">The facts as found by the district court established that in 2002,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undertook to install artwork in a series of dilapidated warehouse buildings that he owned</w:t>
      </w:r>
      <w:r w:rsidRPr="00C068D7">
        <w:rPr>
          <w:rFonts w:ascii="Times New Roman" w:eastAsia="Times" w:hAnsi="Times New Roman" w:cs="Times"/>
          <w:b/>
          <w:color w:val="000000" w:themeColor="text1"/>
          <w:sz w:val="24"/>
        </w:rPr>
        <w:t> </w:t>
      </w:r>
      <w:r w:rsidRPr="00C068D7">
        <w:rPr>
          <w:rFonts w:ascii="Times New Roman" w:eastAsia="Times" w:hAnsi="Times New Roman" w:cs="Times"/>
          <w:color w:val="000000" w:themeColor="text1"/>
          <w:sz w:val="24"/>
        </w:rPr>
        <w:t xml:space="preserve">in Long Island City, New York.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enlisted Appellee Jonathan Cohen, a distinguished aerosol artist, to turn the warehouses into an exhibition space for artists. Cohen and other artists rented studio spaces in the warehouses and filled the walls with aerosol art, with Cohen serving as curator. Under Cohen's leadership, the site, known as 5Pointz, evolved into a major global center for aerosol art. It attracted thousands of daily visitors, numerous celebrities, and extensive media coverage.</w:t>
      </w:r>
    </w:p>
    <w:p w14:paraId="159AD3BC" w14:textId="77777777"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2" w:name="Bookmark_para_7"/>
      <w:bookmarkEnd w:id="2"/>
      <w:r w:rsidRPr="00C068D7">
        <w:rPr>
          <w:rFonts w:ascii="Times New Roman" w:eastAsia="Times" w:hAnsi="Times New Roman" w:cs="Times"/>
          <w:color w:val="000000" w:themeColor="text1"/>
          <w:sz w:val="24"/>
        </w:rPr>
        <w:t>"Creative destruction" was an important feature of the 5Pointz site. Some art at the site achieved permanence, but other art had a short lifespan and was repeatedly painted over. An elaborate system of norms—including Cohen's permission and often consent of the artist whose work was overpainted—governed the painting process. Cohen divided the walls into "short-term rotating walls," where works would generally last for days or weeks, and "longstanding walls," which were more permanent and reserved for the best works at the site. During its lifespan, 5Pointz was home to a total of approximately 10,650 works of art.</w:t>
      </w:r>
    </w:p>
    <w:p w14:paraId="6FB99AED" w14:textId="0FE9E55A"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3" w:name="Bookmark_para_8"/>
      <w:bookmarkEnd w:id="3"/>
      <w:r w:rsidRPr="00C068D7">
        <w:rPr>
          <w:rFonts w:ascii="Times New Roman" w:eastAsia="Times" w:hAnsi="Times New Roman" w:cs="Times"/>
          <w:color w:val="000000" w:themeColor="text1"/>
          <w:sz w:val="24"/>
        </w:rPr>
        <w:t xml:space="preserve">In May 2013, Cohen learned that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had sought municipal approvals looking to</w:t>
      </w:r>
      <w:r w:rsidRPr="00C068D7">
        <w:rPr>
          <w:rFonts w:ascii="Times New Roman" w:eastAsia="Times" w:hAnsi="Times New Roman" w:cs="Times"/>
          <w:b/>
          <w:color w:val="000000" w:themeColor="text1"/>
          <w:sz w:val="24"/>
        </w:rPr>
        <w:t> </w:t>
      </w:r>
      <w:r w:rsidRPr="00C068D7">
        <w:rPr>
          <w:rFonts w:ascii="Times New Roman" w:eastAsia="Times" w:hAnsi="Times New Roman" w:cs="Times"/>
          <w:color w:val="000000" w:themeColor="text1"/>
          <w:sz w:val="24"/>
        </w:rPr>
        <w:t xml:space="preserve">demolish 5Pointz and to build luxury apartments on the site. Seeking to prevent that destruction, Cohen applied to the New York City Landmark Preservation Commission to have 5Pointz designated a site of </w:t>
      </w:r>
      <w:r w:rsidRPr="00C068D7">
        <w:rPr>
          <w:rFonts w:ascii="Times New Roman" w:eastAsia="Times" w:hAnsi="Times New Roman" w:cs="Times"/>
          <w:color w:val="000000" w:themeColor="text1"/>
          <w:sz w:val="24"/>
        </w:rPr>
        <w:lastRenderedPageBreak/>
        <w:t>cultural significance. The application was unsuccessful, as were Cohen's efforts to raise money to purchase the site.</w:t>
      </w:r>
    </w:p>
    <w:p w14:paraId="3E7968D0" w14:textId="7E47AAAC"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4" w:name="Bookmark_para_9"/>
      <w:bookmarkEnd w:id="4"/>
      <w:r w:rsidRPr="00C068D7">
        <w:rPr>
          <w:rFonts w:ascii="Times New Roman" w:eastAsia="Times" w:hAnsi="Times New Roman" w:cs="Times"/>
          <w:color w:val="000000" w:themeColor="text1"/>
          <w:sz w:val="24"/>
        </w:rPr>
        <w:t xml:space="preserve">At that point, Cohen, joined by numerous 5Pointz artists, sued under VARA to prevent destruction of the site. </w:t>
      </w:r>
      <w:bookmarkStart w:id="5" w:name="Bookmark_LNHNREFclscc1"/>
      <w:bookmarkEnd w:id="5"/>
      <w:r w:rsidRPr="00C068D7">
        <w:rPr>
          <w:rFonts w:ascii="Times New Roman" w:eastAsia="Times" w:hAnsi="Times New Roman" w:cs="Times"/>
          <w:color w:val="000000" w:themeColor="text1"/>
          <w:sz w:val="24"/>
        </w:rPr>
        <w:t xml:space="preserve">VARA, added to the copyright laws in 1990, grants visual artists certain "moral rights" in their work. </w:t>
      </w:r>
      <w:r w:rsidRPr="00C068D7">
        <w:rPr>
          <w:rFonts w:ascii="Times New Roman" w:eastAsia="Times" w:hAnsi="Times New Roman" w:cs="Times"/>
          <w:i/>
          <w:color w:val="000000" w:themeColor="text1"/>
          <w:sz w:val="24"/>
        </w:rPr>
        <w:t>See</w:t>
      </w:r>
      <w:r w:rsidRPr="00C068D7">
        <w:rPr>
          <w:rFonts w:ascii="Times New Roman" w:eastAsia="Times" w:hAnsi="Times New Roman" w:cs="Times"/>
          <w:color w:val="000000" w:themeColor="text1"/>
          <w:sz w:val="24"/>
        </w:rPr>
        <w:t xml:space="preserve"> </w:t>
      </w:r>
      <w:hyperlink r:id="rId9" w:history="1">
        <w:r w:rsidRPr="00C068D7">
          <w:rPr>
            <w:rFonts w:ascii="Times New Roman" w:eastAsia="Times" w:hAnsi="Times New Roman" w:cs="Times"/>
            <w:color w:val="000000" w:themeColor="text1"/>
            <w:sz w:val="24"/>
            <w:u w:val="single"/>
            <w:shd w:val="clear" w:color="auto" w:fill="FFFFFF"/>
          </w:rPr>
          <w:t>17 U.S.C. § 106A(a)</w:t>
        </w:r>
      </w:hyperlink>
      <w:r w:rsidRPr="00C068D7">
        <w:rPr>
          <w:rFonts w:ascii="Times New Roman" w:eastAsia="Times" w:hAnsi="Times New Roman" w:cs="Times"/>
          <w:color w:val="000000" w:themeColor="text1"/>
          <w:sz w:val="24"/>
        </w:rPr>
        <w:t xml:space="preserve">. Specifically, the statute prevents modifications of artwork that are harmful to artists' reputations. </w:t>
      </w:r>
      <w:r w:rsidRPr="00C068D7">
        <w:rPr>
          <w:rFonts w:ascii="Times New Roman" w:eastAsia="Times" w:hAnsi="Times New Roman" w:cs="Times"/>
          <w:i/>
          <w:color w:val="000000" w:themeColor="text1"/>
          <w:sz w:val="24"/>
        </w:rPr>
        <w:t>Id.</w:t>
      </w:r>
      <w:r w:rsidRPr="00C068D7">
        <w:rPr>
          <w:rFonts w:ascii="Times New Roman" w:eastAsia="Times" w:hAnsi="Times New Roman" w:cs="Times"/>
          <w:color w:val="000000" w:themeColor="text1"/>
          <w:sz w:val="24"/>
        </w:rPr>
        <w:t xml:space="preserve"> </w:t>
      </w:r>
      <w:hyperlink r:id="rId10" w:history="1">
        <w:r w:rsidRPr="00C068D7">
          <w:rPr>
            <w:rFonts w:ascii="Times New Roman" w:eastAsia="Times" w:hAnsi="Times New Roman" w:cs="Times"/>
            <w:color w:val="000000" w:themeColor="text1"/>
            <w:sz w:val="24"/>
            <w:u w:val="single"/>
            <w:shd w:val="clear" w:color="auto" w:fill="FFFFFF"/>
          </w:rPr>
          <w:t>§ 106A(a)(3)(A)</w:t>
        </w:r>
      </w:hyperlink>
      <w:r w:rsidRPr="00C068D7">
        <w:rPr>
          <w:rFonts w:ascii="Times New Roman" w:eastAsia="Times" w:hAnsi="Times New Roman" w:cs="Times"/>
          <w:color w:val="000000" w:themeColor="text1"/>
          <w:sz w:val="24"/>
        </w:rPr>
        <w:t xml:space="preserve">. The statute also affords artists the right to prevent destruction of their work if that work has achieved "recognized stature" and carries over this protection even after the work is sold. </w:t>
      </w:r>
      <w:r w:rsidRPr="00C068D7">
        <w:rPr>
          <w:rFonts w:ascii="Times New Roman" w:eastAsia="Times" w:hAnsi="Times New Roman" w:cs="Times"/>
          <w:i/>
          <w:color w:val="000000" w:themeColor="text1"/>
          <w:sz w:val="24"/>
        </w:rPr>
        <w:t>Id.</w:t>
      </w:r>
      <w:r w:rsidRPr="00C068D7">
        <w:rPr>
          <w:rFonts w:ascii="Times New Roman" w:eastAsia="Times" w:hAnsi="Times New Roman" w:cs="Times"/>
          <w:color w:val="000000" w:themeColor="text1"/>
          <w:sz w:val="24"/>
        </w:rPr>
        <w:t xml:space="preserve"> </w:t>
      </w:r>
      <w:hyperlink r:id="rId11" w:history="1">
        <w:r w:rsidRPr="00C068D7">
          <w:rPr>
            <w:rFonts w:ascii="Times New Roman" w:eastAsia="Times" w:hAnsi="Times New Roman" w:cs="Times"/>
            <w:color w:val="000000" w:themeColor="text1"/>
            <w:sz w:val="24"/>
            <w:u w:val="single"/>
            <w:shd w:val="clear" w:color="auto" w:fill="FFFFFF"/>
          </w:rPr>
          <w:t>§ 106A(a)(3)(B)</w:t>
        </w:r>
      </w:hyperlink>
      <w:r w:rsidRPr="00C068D7">
        <w:rPr>
          <w:rFonts w:ascii="Times New Roman" w:eastAsia="Times" w:hAnsi="Times New Roman" w:cs="Times"/>
          <w:color w:val="000000" w:themeColor="text1"/>
          <w:sz w:val="24"/>
        </w:rPr>
        <w:t xml:space="preserve">. Under </w:t>
      </w:r>
      <w:hyperlink r:id="rId12" w:history="1">
        <w:r w:rsidRPr="00C068D7">
          <w:rPr>
            <w:rFonts w:ascii="Times New Roman" w:eastAsia="Times" w:hAnsi="Times New Roman" w:cs="Times"/>
            <w:color w:val="000000" w:themeColor="text1"/>
            <w:sz w:val="24"/>
            <w:u w:val="single"/>
            <w:shd w:val="clear" w:color="auto" w:fill="FFFFFF"/>
          </w:rPr>
          <w:t>§§ 504(b)</w:t>
        </w:r>
      </w:hyperlink>
      <w:r w:rsidRPr="00C068D7">
        <w:rPr>
          <w:rFonts w:ascii="Times New Roman" w:eastAsia="Times" w:hAnsi="Times New Roman" w:cs="Times"/>
          <w:color w:val="000000" w:themeColor="text1"/>
          <w:sz w:val="24"/>
        </w:rPr>
        <w:t xml:space="preserve"> and </w:t>
      </w:r>
      <w:hyperlink r:id="rId13" w:history="1">
        <w:r w:rsidRPr="00C068D7">
          <w:rPr>
            <w:rFonts w:ascii="Times New Roman" w:eastAsia="Times" w:hAnsi="Times New Roman" w:cs="Times"/>
            <w:color w:val="000000" w:themeColor="text1"/>
            <w:sz w:val="24"/>
            <w:u w:val="single"/>
            <w:shd w:val="clear" w:color="auto" w:fill="FFFFFF"/>
          </w:rPr>
          <w:t>(c)</w:t>
        </w:r>
      </w:hyperlink>
      <w:r w:rsidRPr="00C068D7">
        <w:rPr>
          <w:rFonts w:ascii="Times New Roman" w:eastAsia="Times" w:hAnsi="Times New Roman" w:cs="Times"/>
          <w:color w:val="000000" w:themeColor="text1"/>
          <w:sz w:val="24"/>
        </w:rPr>
        <w:t xml:space="preserve"> an artist who establishes a violation of VARA may obtain actual damages and profits or statutory damages, which are enhanced if the artist proves that a violation was willful.</w:t>
      </w:r>
    </w:p>
    <w:p w14:paraId="52B6D0FF" w14:textId="5E91B9F6"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6" w:name="Bookmark_para_10"/>
      <w:bookmarkStart w:id="7" w:name="Bookmark_I5Y90KS728T49J0020000400"/>
      <w:bookmarkEnd w:id="6"/>
      <w:bookmarkEnd w:id="7"/>
      <w:r w:rsidRPr="00C068D7">
        <w:rPr>
          <w:rFonts w:ascii="Times New Roman" w:eastAsia="Times" w:hAnsi="Times New Roman" w:cs="Times"/>
          <w:color w:val="000000" w:themeColor="text1"/>
          <w:sz w:val="24"/>
        </w:rPr>
        <w:t xml:space="preserve">Early in the litigation, Plaintiffs applied for a temporary restraining order to prevent the demolition of the site, which the district court granted. </w:t>
      </w:r>
      <w:r w:rsidRPr="00C068D7">
        <w:rPr>
          <w:rFonts w:ascii="Times New Roman" w:eastAsia="Times" w:hAnsi="Times New Roman" w:cs="Times"/>
          <w:i/>
          <w:color w:val="000000" w:themeColor="text1"/>
          <w:sz w:val="24"/>
        </w:rPr>
        <w:t xml:space="preserve">See </w:t>
      </w:r>
      <w:bookmarkStart w:id="8" w:name="Bookmark_I5Y90KS728T49J0010000400"/>
      <w:bookmarkEnd w:id="8"/>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"https://plus.lexis.com/api/document?collection=cases&amp;id=urn:contentItem:59W5-TN21-F04F-02HF-00000-00&amp;context=1530671" </w:instrText>
      </w:r>
      <w:r w:rsidRPr="00C068D7">
        <w:rPr>
          <w:rFonts w:ascii="Times New Roman" w:hAnsi="Times New Roman"/>
          <w:color w:val="000000" w:themeColor="text1"/>
          <w:sz w:val="24"/>
        </w:rPr>
        <w:fldChar w:fldCharType="separate"/>
      </w:r>
      <w:r w:rsidRPr="00C068D7">
        <w:rPr>
          <w:rFonts w:ascii="Times New Roman" w:eastAsia="Times" w:hAnsi="Times New Roman" w:cs="Times"/>
          <w:i/>
          <w:color w:val="000000" w:themeColor="text1"/>
          <w:sz w:val="24"/>
          <w:u w:val="single"/>
          <w:shd w:val="clear" w:color="auto" w:fill="FFFFFF"/>
        </w:rPr>
        <w:t>Cohen v. G&amp;M Realty L.P.</w:t>
      </w:r>
      <w:r w:rsidRPr="00C068D7">
        <w:rPr>
          <w:rFonts w:ascii="Times New Roman" w:eastAsia="Times" w:hAnsi="Times New Roman" w:cs="Times"/>
          <w:i/>
          <w:color w:val="000000" w:themeColor="text1"/>
          <w:sz w:val="24"/>
          <w:u w:val="single"/>
          <w:shd w:val="clear" w:color="auto" w:fill="FFFFFF"/>
        </w:rPr>
        <w:fldChar w:fldCharType="end"/>
      </w:r>
      <w:hyperlink r:id="rId14" w:history="1">
        <w:r w:rsidRPr="00C068D7">
          <w:rPr>
            <w:rFonts w:ascii="Times New Roman" w:eastAsia="Times" w:hAnsi="Times New Roman" w:cs="Times"/>
            <w:color w:val="000000" w:themeColor="text1"/>
            <w:sz w:val="24"/>
            <w:u w:val="single"/>
            <w:shd w:val="clear" w:color="auto" w:fill="FFFFFF"/>
          </w:rPr>
          <w:t>, 988 F. Supp. 2d 212, 214 n.1 (E.D.N.Y. 2013)</w:t>
        </w:r>
      </w:hyperlink>
      <w:r w:rsidRPr="00C068D7">
        <w:rPr>
          <w:rFonts w:ascii="Times New Roman" w:eastAsia="Times" w:hAnsi="Times New Roman" w:cs="Times"/>
          <w:color w:val="000000" w:themeColor="text1"/>
          <w:sz w:val="24"/>
        </w:rPr>
        <w:t xml:space="preserve">. </w:t>
      </w:r>
      <w:bookmarkStart w:id="9" w:name="Bookmark_I5Y90KS728T49J0040000400"/>
      <w:bookmarkEnd w:id="9"/>
      <w:r w:rsidRPr="00C068D7">
        <w:rPr>
          <w:rFonts w:ascii="Times New Roman" w:eastAsia="Times" w:hAnsi="Times New Roman" w:cs="Times"/>
          <w:color w:val="000000" w:themeColor="text1"/>
          <w:sz w:val="24"/>
        </w:rPr>
        <w:t>As the TRO expired,</w:t>
      </w:r>
      <w:r w:rsidRPr="00C068D7">
        <w:rPr>
          <w:rFonts w:ascii="Times New Roman" w:eastAsia="Times" w:hAnsi="Times New Roman" w:cs="Times"/>
          <w:b/>
          <w:color w:val="000000" w:themeColor="text1"/>
          <w:sz w:val="24"/>
        </w:rPr>
        <w:t> </w:t>
      </w:r>
      <w:r w:rsidRPr="00C068D7">
        <w:rPr>
          <w:rFonts w:ascii="Times New Roman" w:eastAsia="Times" w:hAnsi="Times New Roman" w:cs="Times"/>
          <w:color w:val="000000" w:themeColor="text1"/>
          <w:sz w:val="24"/>
        </w:rPr>
        <w:t xml:space="preserve">Plaintiffs applied for a preliminary injunction. </w:t>
      </w:r>
      <w:bookmarkStart w:id="10" w:name="Bookmark_I5Y90KS728T49J0040000400_2"/>
      <w:bookmarkEnd w:id="10"/>
      <w:r w:rsidRPr="00C068D7">
        <w:rPr>
          <w:rFonts w:ascii="Times New Roman" w:eastAsia="Times" w:hAnsi="Times New Roman" w:cs="Times"/>
          <w:color w:val="000000" w:themeColor="text1"/>
          <w:sz w:val="24"/>
        </w:rPr>
        <w:t xml:space="preserve">On November 12, 2013, the court denied the application in a minute order but told the parties that a written opinion would soon follow. </w:t>
      </w:r>
      <w:r w:rsidRPr="00C068D7">
        <w:rPr>
          <w:rFonts w:ascii="Times New Roman" w:eastAsia="Times" w:hAnsi="Times New Roman" w:cs="Times"/>
          <w:i/>
          <w:color w:val="000000" w:themeColor="text1"/>
          <w:sz w:val="24"/>
        </w:rPr>
        <w:t xml:space="preserve">See </w:t>
      </w:r>
      <w:bookmarkStart w:id="11" w:name="Bookmark_I5Y90KS728T49J0030000400"/>
      <w:bookmarkEnd w:id="11"/>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"https://plus.lexis.com/api/document?collection=cases&amp;id=urn:contentItem:59W5-TN21-F04F-02HF-00000-00&amp;context=1530671" </w:instrText>
      </w:r>
      <w:r w:rsidRPr="00C068D7">
        <w:rPr>
          <w:rFonts w:ascii="Times New Roman" w:hAnsi="Times New Roman"/>
          <w:color w:val="000000" w:themeColor="text1"/>
          <w:sz w:val="24"/>
        </w:rPr>
        <w:fldChar w:fldCharType="separate"/>
      </w:r>
      <w:r w:rsidRPr="00C068D7">
        <w:rPr>
          <w:rFonts w:ascii="Times New Roman" w:eastAsia="Times" w:hAnsi="Times New Roman" w:cs="Times"/>
          <w:i/>
          <w:color w:val="000000" w:themeColor="text1"/>
          <w:sz w:val="24"/>
          <w:u w:val="single"/>
          <w:shd w:val="clear" w:color="auto" w:fill="FFFFFF"/>
        </w:rPr>
        <w:t>id.</w:t>
      </w:r>
      <w:r w:rsidRPr="00C068D7">
        <w:rPr>
          <w:rFonts w:ascii="Times New Roman" w:eastAsia="Times" w:hAnsi="Times New Roman" w:cs="Times"/>
          <w:i/>
          <w:color w:val="000000" w:themeColor="text1"/>
          <w:sz w:val="24"/>
          <w:u w:val="single"/>
          <w:shd w:val="clear" w:color="auto" w:fill="FFFFFF"/>
        </w:rPr>
        <w:fldChar w:fldCharType="end"/>
      </w:r>
      <w:hyperlink r:id="rId15" w:history="1">
        <w:r w:rsidRPr="00C068D7">
          <w:rPr>
            <w:rFonts w:ascii="Times New Roman" w:eastAsia="Times" w:hAnsi="Times New Roman" w:cs="Times"/>
            <w:color w:val="000000" w:themeColor="text1"/>
            <w:sz w:val="24"/>
            <w:u w:val="single"/>
            <w:shd w:val="clear" w:color="auto" w:fill="FFFFFF"/>
          </w:rPr>
          <w:t xml:space="preserve"> at 214</w:t>
        </w:r>
      </w:hyperlink>
      <w:r w:rsidRPr="00C068D7">
        <w:rPr>
          <w:rFonts w:ascii="Times New Roman" w:eastAsia="Times" w:hAnsi="Times New Roman" w:cs="Times"/>
          <w:color w:val="000000" w:themeColor="text1"/>
          <w:sz w:val="24"/>
        </w:rPr>
        <w:t>.</w:t>
      </w:r>
    </w:p>
    <w:p w14:paraId="4A7CB3E2" w14:textId="77777777"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12" w:name="Bookmark_para_11"/>
      <w:bookmarkEnd w:id="12"/>
      <w:r w:rsidRPr="00C068D7">
        <w:rPr>
          <w:rFonts w:ascii="Times New Roman" w:eastAsia="Times" w:hAnsi="Times New Roman" w:cs="Times"/>
          <w:color w:val="000000" w:themeColor="text1"/>
          <w:sz w:val="24"/>
        </w:rPr>
        <w:t xml:space="preserve">That night,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began to destroy the artwork. He banned the artists from the site and refused them permission to recover any work that could be removed. Several nights later (and before the district court's written opinion could issue),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deployed a group of workmen who, at his instruction, whitewashed the art.</w:t>
      </w:r>
    </w:p>
    <w:p w14:paraId="2D0DB880" w14:textId="77777777"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13" w:name="Bookmark_para_12"/>
      <w:bookmarkEnd w:id="13"/>
      <w:r w:rsidRPr="00C068D7">
        <w:rPr>
          <w:rFonts w:ascii="Times New Roman" w:eastAsia="Times" w:hAnsi="Times New Roman" w:cs="Times"/>
          <w:color w:val="000000" w:themeColor="text1"/>
          <w:sz w:val="24"/>
        </w:rPr>
        <w:t>On November 20, 2013, the district court issued its opinion denying the preliminary injunction. Judge Block concluded that, although some of the 5Pointz paintings may have achieved recognized stature, resolution of that question was best reserved for trial. The court also decided that, given the transitory nature of much of the work, preliminary injunctive relief was inappropriate and that the monetary damages available under VARA could remediate any injury proved at trial.</w:t>
      </w:r>
    </w:p>
    <w:p w14:paraId="026BC059" w14:textId="7232BCE1"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14" w:name="Bookmark_para_13"/>
      <w:bookmarkEnd w:id="14"/>
      <w:r w:rsidRPr="00C068D7">
        <w:rPr>
          <w:rFonts w:ascii="Times New Roman" w:eastAsia="Times" w:hAnsi="Times New Roman" w:cs="Times"/>
          <w:color w:val="000000" w:themeColor="text1"/>
          <w:sz w:val="24"/>
        </w:rPr>
        <w:t xml:space="preserve">Following the destruction of the art, nine additional artists sued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The two lawsuits were consolidated for trial, which would primarily address whether the artwork had achieved recognized stature and, if</w:t>
      </w:r>
      <w:r w:rsidRPr="00C068D7">
        <w:rPr>
          <w:rFonts w:ascii="Times New Roman" w:eastAsia="Times" w:hAnsi="Times New Roman" w:cs="Times"/>
          <w:b/>
          <w:color w:val="000000" w:themeColor="text1"/>
          <w:sz w:val="24"/>
        </w:rPr>
        <w:t> </w:t>
      </w:r>
      <w:r w:rsidRPr="00C068D7">
        <w:rPr>
          <w:rFonts w:ascii="Times New Roman" w:eastAsia="Times" w:hAnsi="Times New Roman" w:cs="Times"/>
          <w:color w:val="000000" w:themeColor="text1"/>
          <w:sz w:val="24"/>
        </w:rPr>
        <w:t xml:space="preserve">it had, the value of the art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destroyed. The three-week trial included testimony from 29 witnesses and saw the admission of voluminous documentary evidence.</w:t>
      </w:r>
    </w:p>
    <w:p w14:paraId="7ABED27F" w14:textId="77777777"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15" w:name="Bookmark_para_14"/>
      <w:bookmarkEnd w:id="15"/>
      <w:r w:rsidRPr="00C068D7">
        <w:rPr>
          <w:rFonts w:ascii="Times New Roman" w:eastAsia="Times" w:hAnsi="Times New Roman" w:cs="Times"/>
          <w:color w:val="000000" w:themeColor="text1"/>
          <w:sz w:val="24"/>
        </w:rPr>
        <w:t xml:space="preserve">Although Plaintiffs had initially demanded a trial by jury, near the conclusion of the trial, the parties agreed to waive a jury, and the district court converted it to an advisory jury. On November 15, 2017, the advisory </w:t>
      </w:r>
      <w:r w:rsidRPr="00C068D7">
        <w:rPr>
          <w:rFonts w:ascii="Times New Roman" w:eastAsia="Times" w:hAnsi="Times New Roman" w:cs="Times"/>
          <w:color w:val="000000" w:themeColor="text1"/>
          <w:sz w:val="24"/>
        </w:rPr>
        <w:lastRenderedPageBreak/>
        <w:t>jury returned its verdict. It made individualized findings as to each artist and work and found violations of VARA as to 36 of the 49 works that were whitewashed. More precisely, the advisory jury found that 28 works had achieved recognized stature and had been unlawfully destroyed and that 8 other works had been mutilated or distorted to the detriment of the artists' reputations. It recommended an award of $545,750 in actual damages and $651,750 in statutory damages.</w:t>
      </w:r>
    </w:p>
    <w:p w14:paraId="059E4CE0" w14:textId="19BC7F10"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16" w:name="Bookmark_para_15"/>
      <w:bookmarkEnd w:id="16"/>
      <w:r w:rsidRPr="00C068D7">
        <w:rPr>
          <w:rFonts w:ascii="Times New Roman" w:eastAsia="Times" w:hAnsi="Times New Roman" w:cs="Times"/>
          <w:color w:val="000000" w:themeColor="text1"/>
          <w:sz w:val="24"/>
        </w:rPr>
        <w:t xml:space="preserve">On February 12, 2018, the district court issued its findings of fact and conclusions of law. Drawing on a vast record, the court found that 45 of the works had achieved recognized stature, that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had violated VARA by destroying them, and that the violation was willful. More specifically, the court observed that the works "reflect[ed] striking technical and artistic mastery and vision worthy of display in prominent museums if not on the walls of 5Pointz." S. </w:t>
      </w:r>
      <w:proofErr w:type="spellStart"/>
      <w:r w:rsidRPr="00C068D7">
        <w:rPr>
          <w:rFonts w:ascii="Times New Roman" w:eastAsia="Times" w:hAnsi="Times New Roman" w:cs="Times"/>
          <w:color w:val="000000" w:themeColor="text1"/>
          <w:sz w:val="24"/>
        </w:rPr>
        <w:t>App'x</w:t>
      </w:r>
      <w:proofErr w:type="spellEnd"/>
      <w:r w:rsidRPr="00C068D7">
        <w:rPr>
          <w:rFonts w:ascii="Times New Roman" w:eastAsia="Times" w:hAnsi="Times New Roman" w:cs="Times"/>
          <w:color w:val="000000" w:themeColor="text1"/>
          <w:sz w:val="24"/>
        </w:rPr>
        <w:t xml:space="preserve"> at 13. The findings emphasized</w:t>
      </w:r>
      <w:r w:rsidR="008024C2" w:rsidRPr="00C068D7">
        <w:rPr>
          <w:rFonts w:ascii="Times New Roman" w:eastAsia="Times" w:hAnsi="Times New Roman" w:cs="Times"/>
          <w:color w:val="000000" w:themeColor="text1"/>
          <w:sz w:val="24"/>
        </w:rPr>
        <w:t xml:space="preserve"> </w:t>
      </w:r>
      <w:r w:rsidRPr="00C068D7">
        <w:rPr>
          <w:rFonts w:ascii="Times New Roman" w:eastAsia="Times" w:hAnsi="Times New Roman" w:cs="Times"/>
          <w:color w:val="000000" w:themeColor="text1"/>
          <w:sz w:val="24"/>
        </w:rPr>
        <w:t>Cohen's prominence in the world of aerosol art, the significance of his process of selecting the artists who could exhibit at 5Pointz, and the fact that, while much of the art was temporary, other works were on display for several years. Judge Block credited the artists' evidence of outside recognition of the 5Pointz works and expert testimony as to the works' stature. The court declined to impose liability with respect to the four remaining works because they had not achieved long-term preservation, were insufficiently discussed outside of 5Pointz, and were not modified to the detriment of the artists' reputations.</w:t>
      </w:r>
    </w:p>
    <w:p w14:paraId="24F7E5CC" w14:textId="4184E88C"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17" w:name="Bookmark_para_16"/>
      <w:bookmarkStart w:id="18" w:name="Bookmark_LNHNREFclscc2"/>
      <w:bookmarkEnd w:id="17"/>
      <w:bookmarkEnd w:id="18"/>
      <w:r w:rsidRPr="00C068D7">
        <w:rPr>
          <w:rFonts w:ascii="Times New Roman" w:eastAsia="Times" w:hAnsi="Times New Roman" w:cs="Times"/>
          <w:color w:val="000000" w:themeColor="text1"/>
          <w:sz w:val="24"/>
        </w:rPr>
        <w:t xml:space="preserve">Where a violation of VARA is established, the statute permits the injured party to recover either actual damages and profits or statutory damages. </w:t>
      </w:r>
      <w:hyperlink r:id="rId16" w:history="1">
        <w:r w:rsidRPr="00C068D7">
          <w:rPr>
            <w:rFonts w:ascii="Times New Roman" w:eastAsia="Times" w:hAnsi="Times New Roman" w:cs="Times"/>
            <w:color w:val="000000" w:themeColor="text1"/>
            <w:sz w:val="24"/>
            <w:u w:val="single"/>
            <w:shd w:val="clear" w:color="auto" w:fill="FFFFFF"/>
          </w:rPr>
          <w:t>17 U.S.C. § 504</w:t>
        </w:r>
      </w:hyperlink>
      <w:r w:rsidRPr="00C068D7">
        <w:rPr>
          <w:rFonts w:ascii="Times New Roman" w:eastAsia="Times" w:hAnsi="Times New Roman" w:cs="Times"/>
          <w:color w:val="000000" w:themeColor="text1"/>
          <w:sz w:val="24"/>
        </w:rPr>
        <w:t xml:space="preserve">. The statute fixes statutory damages between $750 and $30,000 per work but authorizes damages of up to $150,000 per work if a litigant proves that a violation was "willful." </w:t>
      </w:r>
      <w:r w:rsidRPr="00C068D7">
        <w:rPr>
          <w:rFonts w:ascii="Times New Roman" w:eastAsia="Times" w:hAnsi="Times New Roman" w:cs="Times"/>
          <w:i/>
          <w:color w:val="000000" w:themeColor="text1"/>
          <w:sz w:val="24"/>
        </w:rPr>
        <w:t>Id.</w:t>
      </w:r>
      <w:r w:rsidRPr="00C068D7">
        <w:rPr>
          <w:rFonts w:ascii="Times New Roman" w:eastAsia="Times" w:hAnsi="Times New Roman" w:cs="Times"/>
          <w:color w:val="000000" w:themeColor="text1"/>
          <w:sz w:val="24"/>
        </w:rPr>
        <w:t xml:space="preserve"> </w:t>
      </w:r>
      <w:hyperlink r:id="rId17" w:history="1">
        <w:r w:rsidRPr="00C068D7">
          <w:rPr>
            <w:rFonts w:ascii="Times New Roman" w:eastAsia="Times" w:hAnsi="Times New Roman" w:cs="Times"/>
            <w:color w:val="000000" w:themeColor="text1"/>
            <w:sz w:val="24"/>
            <w:u w:val="single"/>
            <w:shd w:val="clear" w:color="auto" w:fill="FFFFFF"/>
          </w:rPr>
          <w:t>§ 504(c)</w:t>
        </w:r>
      </w:hyperlink>
      <w:r w:rsidRPr="00C068D7">
        <w:rPr>
          <w:rFonts w:ascii="Times New Roman" w:eastAsia="Times" w:hAnsi="Times New Roman" w:cs="Times"/>
          <w:color w:val="000000" w:themeColor="text1"/>
          <w:sz w:val="24"/>
        </w:rPr>
        <w:t>. There was extensive expert testimony as to actual damages. Elizabeth Littlejohn, the artists' expert, testified</w:t>
      </w:r>
      <w:r w:rsidRPr="00C068D7">
        <w:rPr>
          <w:rFonts w:ascii="Times New Roman" w:eastAsia="Times" w:hAnsi="Times New Roman" w:cs="Times"/>
          <w:b/>
          <w:color w:val="000000" w:themeColor="text1"/>
          <w:sz w:val="24"/>
        </w:rPr>
        <w:t> </w:t>
      </w:r>
      <w:r w:rsidRPr="00C068D7">
        <w:rPr>
          <w:rFonts w:ascii="Times New Roman" w:eastAsia="Times" w:hAnsi="Times New Roman" w:cs="Times"/>
          <w:color w:val="000000" w:themeColor="text1"/>
          <w:sz w:val="24"/>
        </w:rPr>
        <w:t xml:space="preserve">that each of the works in question had a substantial monetary value, employing a complex formula that attempted to scale that value to account for the relative merit and recognition of each work. On the other hand, Christopher Gaillard, </w:t>
      </w:r>
      <w:proofErr w:type="spellStart"/>
      <w:r w:rsidRPr="00C068D7">
        <w:rPr>
          <w:rFonts w:ascii="Times New Roman" w:eastAsia="Times" w:hAnsi="Times New Roman" w:cs="Times"/>
          <w:color w:val="000000" w:themeColor="text1"/>
          <w:sz w:val="24"/>
        </w:rPr>
        <w:t>Wolkoff's</w:t>
      </w:r>
      <w:proofErr w:type="spellEnd"/>
      <w:r w:rsidRPr="00C068D7">
        <w:rPr>
          <w:rFonts w:ascii="Times New Roman" w:eastAsia="Times" w:hAnsi="Times New Roman" w:cs="Times"/>
          <w:color w:val="000000" w:themeColor="text1"/>
          <w:sz w:val="24"/>
        </w:rPr>
        <w:t xml:space="preserve"> expert, testified that, given the difficulties of removing and selling the 5Pointz paintings and the 5Pointz artists' limited sales history, the destroyed works did not have a reliable market value. Ultimately, the district court concluded that it could not reliably fix the market value of the destroyed paintings and, for that reason, declined to award actual damages. The court said that Littlejohn's formula was </w:t>
      </w:r>
      <w:proofErr w:type="gramStart"/>
      <w:r w:rsidRPr="00C068D7">
        <w:rPr>
          <w:rFonts w:ascii="Times New Roman" w:eastAsia="Times" w:hAnsi="Times New Roman" w:cs="Times"/>
          <w:color w:val="000000" w:themeColor="text1"/>
          <w:sz w:val="24"/>
        </w:rPr>
        <w:t>flawed</w:t>
      </w:r>
      <w:proofErr w:type="gramEnd"/>
      <w:r w:rsidRPr="00C068D7">
        <w:rPr>
          <w:rFonts w:ascii="Times New Roman" w:eastAsia="Times" w:hAnsi="Times New Roman" w:cs="Times"/>
          <w:color w:val="000000" w:themeColor="text1"/>
          <w:sz w:val="24"/>
        </w:rPr>
        <w:t xml:space="preserve"> and that Gaillard credibly testified to challenges that would impede calculation of a market value.</w:t>
      </w:r>
    </w:p>
    <w:p w14:paraId="55379455" w14:textId="6B544D23"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19" w:name="Bookmark_para_17"/>
      <w:bookmarkEnd w:id="19"/>
      <w:r w:rsidRPr="00C068D7">
        <w:rPr>
          <w:rFonts w:ascii="Times New Roman" w:eastAsia="Times" w:hAnsi="Times New Roman" w:cs="Times"/>
          <w:color w:val="000000" w:themeColor="text1"/>
          <w:sz w:val="24"/>
        </w:rPr>
        <w:t xml:space="preserve">Nonetheless, the court did award statutory damages. It determined that statutory damages would serve to sanction </w:t>
      </w:r>
      <w:proofErr w:type="spellStart"/>
      <w:r w:rsidRPr="00C068D7">
        <w:rPr>
          <w:rFonts w:ascii="Times New Roman" w:eastAsia="Times" w:hAnsi="Times New Roman" w:cs="Times"/>
          <w:color w:val="000000" w:themeColor="text1"/>
          <w:sz w:val="24"/>
        </w:rPr>
        <w:t>Wolkoff's</w:t>
      </w:r>
      <w:proofErr w:type="spellEnd"/>
      <w:r w:rsidRPr="00C068D7">
        <w:rPr>
          <w:rFonts w:ascii="Times New Roman" w:eastAsia="Times" w:hAnsi="Times New Roman" w:cs="Times"/>
          <w:color w:val="000000" w:themeColor="text1"/>
          <w:sz w:val="24"/>
        </w:rPr>
        <w:t xml:space="preserve"> conduct and to </w:t>
      </w:r>
      <w:r w:rsidRPr="00C068D7">
        <w:rPr>
          <w:rFonts w:ascii="Times New Roman" w:eastAsia="Times" w:hAnsi="Times New Roman" w:cs="Times"/>
          <w:color w:val="000000" w:themeColor="text1"/>
          <w:sz w:val="24"/>
        </w:rPr>
        <w:lastRenderedPageBreak/>
        <w:t xml:space="preserve">vindicate the policies behind VARA. In addition, and in accord with the advisory jury's verdict, the court found that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had acted willfully. This finding was based on </w:t>
      </w:r>
      <w:proofErr w:type="spellStart"/>
      <w:r w:rsidRPr="00C068D7">
        <w:rPr>
          <w:rFonts w:ascii="Times New Roman" w:eastAsia="Times" w:hAnsi="Times New Roman" w:cs="Times"/>
          <w:color w:val="000000" w:themeColor="text1"/>
          <w:sz w:val="24"/>
        </w:rPr>
        <w:t>Wolkoff's</w:t>
      </w:r>
      <w:proofErr w:type="spellEnd"/>
      <w:r w:rsidRPr="00C068D7">
        <w:rPr>
          <w:rFonts w:ascii="Times New Roman" w:eastAsia="Times" w:hAnsi="Times New Roman" w:cs="Times"/>
          <w:color w:val="000000" w:themeColor="text1"/>
          <w:sz w:val="24"/>
        </w:rPr>
        <w:t xml:space="preserve"> awareness of the ongoing VARA litigation and his refusal to afford the artists the 90-day opportunity provided</w:t>
      </w:r>
      <w:r w:rsidRPr="00C068D7">
        <w:rPr>
          <w:rFonts w:ascii="Times New Roman" w:eastAsia="Times" w:hAnsi="Times New Roman" w:cs="Times"/>
          <w:b/>
          <w:color w:val="000000" w:themeColor="text1"/>
          <w:sz w:val="24"/>
        </w:rPr>
        <w:t> </w:t>
      </w:r>
      <w:r w:rsidRPr="00C068D7">
        <w:rPr>
          <w:rFonts w:ascii="Times New Roman" w:eastAsia="Times" w:hAnsi="Times New Roman" w:cs="Times"/>
          <w:color w:val="000000" w:themeColor="text1"/>
          <w:sz w:val="24"/>
        </w:rPr>
        <w:t xml:space="preserve">by the statute to salvage their artwork, some of which was removable. </w:t>
      </w:r>
      <w:r w:rsidRPr="00C068D7">
        <w:rPr>
          <w:rFonts w:ascii="Times New Roman" w:eastAsia="Times" w:hAnsi="Times New Roman" w:cs="Times"/>
          <w:i/>
          <w:color w:val="000000" w:themeColor="text1"/>
          <w:sz w:val="24"/>
        </w:rPr>
        <w:t>See</w:t>
      </w:r>
      <w:r w:rsidRPr="00C068D7">
        <w:rPr>
          <w:rFonts w:ascii="Times New Roman" w:eastAsia="Times" w:hAnsi="Times New Roman" w:cs="Times"/>
          <w:color w:val="000000" w:themeColor="text1"/>
          <w:sz w:val="24"/>
        </w:rPr>
        <w:t xml:space="preserve"> </w:t>
      </w:r>
      <w:hyperlink r:id="rId18" w:history="1">
        <w:r w:rsidRPr="00C068D7">
          <w:rPr>
            <w:rFonts w:ascii="Times New Roman" w:eastAsia="Times" w:hAnsi="Times New Roman" w:cs="Times"/>
            <w:color w:val="000000" w:themeColor="text1"/>
            <w:sz w:val="24"/>
            <w:u w:val="single"/>
            <w:shd w:val="clear" w:color="auto" w:fill="FFFFFF"/>
          </w:rPr>
          <w:t>17 U.S.C. § 113(d)(2)(B)</w:t>
        </w:r>
      </w:hyperlink>
      <w:r w:rsidRPr="00C068D7">
        <w:rPr>
          <w:rFonts w:ascii="Times New Roman" w:eastAsia="Times" w:hAnsi="Times New Roman" w:cs="Times"/>
          <w:color w:val="000000" w:themeColor="text1"/>
          <w:sz w:val="24"/>
        </w:rPr>
        <w:t xml:space="preserve">. Judge Block was unpersuaded by </w:t>
      </w:r>
      <w:proofErr w:type="spellStart"/>
      <w:r w:rsidRPr="00C068D7">
        <w:rPr>
          <w:rFonts w:ascii="Times New Roman" w:eastAsia="Times" w:hAnsi="Times New Roman" w:cs="Times"/>
          <w:color w:val="000000" w:themeColor="text1"/>
          <w:sz w:val="24"/>
        </w:rPr>
        <w:t>Wolkoff's</w:t>
      </w:r>
      <w:proofErr w:type="spellEnd"/>
      <w:r w:rsidRPr="00C068D7">
        <w:rPr>
          <w:rFonts w:ascii="Times New Roman" w:eastAsia="Times" w:hAnsi="Times New Roman" w:cs="Times"/>
          <w:color w:val="000000" w:themeColor="text1"/>
          <w:sz w:val="24"/>
        </w:rPr>
        <w:t xml:space="preserve"> assertion that he whitewashed the artwork to prevent the artists from engaging in disruption and disorderly behavior at the site. Instead, he found that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acted out of "pure pique and revenge for the nerve of the plaintiffs to sue to attempt to prevent the destruction of their art." S. </w:t>
      </w:r>
      <w:proofErr w:type="spellStart"/>
      <w:r w:rsidRPr="00C068D7">
        <w:rPr>
          <w:rFonts w:ascii="Times New Roman" w:eastAsia="Times" w:hAnsi="Times New Roman" w:cs="Times"/>
          <w:color w:val="000000" w:themeColor="text1"/>
          <w:sz w:val="24"/>
        </w:rPr>
        <w:t>App'x</w:t>
      </w:r>
      <w:proofErr w:type="spellEnd"/>
      <w:r w:rsidRPr="00C068D7">
        <w:rPr>
          <w:rFonts w:ascii="Times New Roman" w:eastAsia="Times" w:hAnsi="Times New Roman" w:cs="Times"/>
          <w:color w:val="000000" w:themeColor="text1"/>
          <w:sz w:val="24"/>
        </w:rPr>
        <w:t xml:space="preserve"> at 44. Judge Block awarded the maximum </w:t>
      </w:r>
      <w:proofErr w:type="gramStart"/>
      <w:r w:rsidRPr="00C068D7">
        <w:rPr>
          <w:rFonts w:ascii="Times New Roman" w:eastAsia="Times" w:hAnsi="Times New Roman" w:cs="Times"/>
          <w:color w:val="000000" w:themeColor="text1"/>
          <w:sz w:val="24"/>
        </w:rPr>
        <w:t>amount</w:t>
      </w:r>
      <w:proofErr w:type="gramEnd"/>
      <w:r w:rsidRPr="00C068D7">
        <w:rPr>
          <w:rFonts w:ascii="Times New Roman" w:eastAsia="Times" w:hAnsi="Times New Roman" w:cs="Times"/>
          <w:color w:val="000000" w:themeColor="text1"/>
          <w:sz w:val="24"/>
        </w:rPr>
        <w:t xml:space="preserve"> of statutory damages: $150,000 for each of the 45 works, for a total of $6.75 million.</w:t>
      </w:r>
    </w:p>
    <w:p w14:paraId="504256D2" w14:textId="77777777"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20" w:name="Bookmark_para_18"/>
      <w:bookmarkEnd w:id="20"/>
      <w:r w:rsidRPr="00C068D7">
        <w:rPr>
          <w:rFonts w:ascii="Times New Roman" w:eastAsia="Times" w:hAnsi="Times New Roman" w:cs="Times"/>
          <w:color w:val="000000" w:themeColor="text1"/>
          <w:sz w:val="24"/>
        </w:rPr>
        <w:t xml:space="preserve">Appellants then moved, pursuant to </w:t>
      </w:r>
      <w:hyperlink r:id="rId19" w:history="1">
        <w:r w:rsidRPr="00C068D7">
          <w:rPr>
            <w:rFonts w:ascii="Times New Roman" w:eastAsia="Times" w:hAnsi="Times New Roman" w:cs="Times"/>
            <w:color w:val="000000" w:themeColor="text1"/>
            <w:sz w:val="24"/>
            <w:u w:val="single"/>
            <w:shd w:val="clear" w:color="auto" w:fill="FFFFFF"/>
          </w:rPr>
          <w:t>Fed. R. Civ. P. 52(b)</w:t>
        </w:r>
      </w:hyperlink>
      <w:r w:rsidRPr="00C068D7">
        <w:rPr>
          <w:rFonts w:ascii="Times New Roman" w:eastAsia="Times" w:hAnsi="Times New Roman" w:cs="Times"/>
          <w:color w:val="000000" w:themeColor="text1"/>
          <w:sz w:val="24"/>
        </w:rPr>
        <w:t xml:space="preserve"> and </w:t>
      </w:r>
      <w:hyperlink r:id="rId20" w:history="1">
        <w:r w:rsidRPr="00C068D7">
          <w:rPr>
            <w:rFonts w:ascii="Times New Roman" w:eastAsia="Times" w:hAnsi="Times New Roman" w:cs="Times"/>
            <w:color w:val="000000" w:themeColor="text1"/>
            <w:sz w:val="24"/>
            <w:u w:val="single"/>
            <w:shd w:val="clear" w:color="auto" w:fill="FFFFFF"/>
          </w:rPr>
          <w:t>59(a)</w:t>
        </w:r>
      </w:hyperlink>
      <w:r w:rsidRPr="00C068D7">
        <w:rPr>
          <w:rFonts w:ascii="Times New Roman" w:eastAsia="Times" w:hAnsi="Times New Roman" w:cs="Times"/>
          <w:color w:val="000000" w:themeColor="text1"/>
          <w:sz w:val="24"/>
        </w:rPr>
        <w:t>, to set aside the court's findings of fact and conclusions of law and to retry the case. The district court denied this motion and, in a lengthy appendix, marshalled the evidence in the record supporting the court's findings as to the recognized stature of each work in question.</w:t>
      </w:r>
    </w:p>
    <w:p w14:paraId="1C099D3E" w14:textId="11FCE5DD"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21" w:name="Bookmark_para_19"/>
      <w:bookmarkEnd w:id="21"/>
      <w:r w:rsidRPr="00C068D7">
        <w:rPr>
          <w:rFonts w:ascii="Times New Roman" w:eastAsia="Times" w:hAnsi="Times New Roman" w:cs="Times"/>
          <w:color w:val="000000" w:themeColor="text1"/>
          <w:sz w:val="24"/>
        </w:rPr>
        <w:t xml:space="preserve">The court also offered additional support for its finding of willfulness. The court concluded that </w:t>
      </w:r>
      <w:proofErr w:type="spellStart"/>
      <w:r w:rsidRPr="00C068D7">
        <w:rPr>
          <w:rFonts w:ascii="Times New Roman" w:eastAsia="Times" w:hAnsi="Times New Roman" w:cs="Times"/>
          <w:color w:val="000000" w:themeColor="text1"/>
          <w:sz w:val="24"/>
        </w:rPr>
        <w:t>Wolkoff's</w:t>
      </w:r>
      <w:proofErr w:type="spellEnd"/>
      <w:r w:rsidRPr="00C068D7">
        <w:rPr>
          <w:rFonts w:ascii="Times New Roman" w:eastAsia="Times" w:hAnsi="Times New Roman" w:cs="Times"/>
          <w:color w:val="000000" w:themeColor="text1"/>
          <w:sz w:val="24"/>
        </w:rPr>
        <w:t xml:space="preserve"> affidavit testimony submitted during the preliminary injunction proceedings contained material untruths. </w:t>
      </w:r>
      <w:proofErr w:type="spellStart"/>
      <w:r w:rsidRPr="00C068D7">
        <w:rPr>
          <w:rFonts w:ascii="Times New Roman" w:eastAsia="Times" w:hAnsi="Times New Roman" w:cs="Times"/>
          <w:color w:val="000000" w:themeColor="text1"/>
          <w:sz w:val="24"/>
        </w:rPr>
        <w:t>Wolkoff's</w:t>
      </w:r>
      <w:proofErr w:type="spellEnd"/>
      <w:r w:rsidRPr="00C068D7">
        <w:rPr>
          <w:rFonts w:ascii="Times New Roman" w:eastAsia="Times" w:hAnsi="Times New Roman" w:cs="Times"/>
          <w:color w:val="000000" w:themeColor="text1"/>
          <w:sz w:val="24"/>
        </w:rPr>
        <w:t xml:space="preserve"> affidavit stated that the demolition of 5Pointz had to be completed by the beginning of 2014, with construction to commence</w:t>
      </w:r>
      <w:r w:rsidRPr="00C068D7">
        <w:rPr>
          <w:rFonts w:ascii="Times New Roman" w:eastAsia="Times" w:hAnsi="Times New Roman" w:cs="Times"/>
          <w:b/>
          <w:color w:val="000000" w:themeColor="text1"/>
          <w:sz w:val="24"/>
        </w:rPr>
        <w:t> </w:t>
      </w:r>
      <w:r w:rsidRPr="00C068D7">
        <w:rPr>
          <w:rFonts w:ascii="Times New Roman" w:eastAsia="Times" w:hAnsi="Times New Roman" w:cs="Times"/>
          <w:color w:val="000000" w:themeColor="text1"/>
          <w:sz w:val="24"/>
        </w:rPr>
        <w:t xml:space="preserve">in April 2014. At trial, however,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testified that he did not apply for a demolition permit until March 2014. The district court stated that it would have granted the preliminary injunction had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testified earlier that demolition could be delayed until March. This appeal followed.</w:t>
      </w:r>
    </w:p>
    <w:p w14:paraId="37E21D07" w14:textId="2E0AF739" w:rsidR="00382C50" w:rsidRPr="00C068D7" w:rsidRDefault="00382C50" w:rsidP="00820FEE">
      <w:pPr>
        <w:pStyle w:val="ListParagraph"/>
        <w:widowControl/>
        <w:numPr>
          <w:ilvl w:val="0"/>
          <w:numId w:val="1"/>
        </w:numPr>
        <w:autoSpaceDE/>
        <w:autoSpaceDN/>
        <w:adjustRightInd/>
        <w:snapToGrid w:val="0"/>
        <w:spacing w:after="240"/>
        <w:ind w:left="3600" w:hanging="3600"/>
        <w:contextualSpacing w:val="0"/>
        <w:jc w:val="both"/>
        <w:rPr>
          <w:rFonts w:ascii="Times New Roman" w:hAnsi="Times New Roman"/>
          <w:color w:val="000000" w:themeColor="text1"/>
          <w:sz w:val="24"/>
        </w:rPr>
      </w:pPr>
      <w:r w:rsidRPr="00C068D7">
        <w:rPr>
          <w:rFonts w:ascii="Times New Roman" w:eastAsia="Times" w:hAnsi="Times New Roman" w:cs="Times"/>
          <w:b/>
          <w:color w:val="000000" w:themeColor="text1"/>
          <w:sz w:val="24"/>
        </w:rPr>
        <w:t>DISCUSSION</w:t>
      </w:r>
    </w:p>
    <w:p w14:paraId="788076A6" w14:textId="77777777"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22" w:name="Bookmark_para_20"/>
      <w:bookmarkStart w:id="23" w:name="Bookmark_I5Y90KS82N1RVW0010000400"/>
      <w:bookmarkStart w:id="24" w:name="Bookmark_LNHNREFclscc3"/>
      <w:bookmarkEnd w:id="22"/>
      <w:bookmarkEnd w:id="23"/>
      <w:bookmarkEnd w:id="24"/>
      <w:r w:rsidRPr="00C068D7">
        <w:rPr>
          <w:rFonts w:ascii="Times New Roman" w:eastAsia="Times" w:hAnsi="Times New Roman" w:cs="Times"/>
          <w:color w:val="000000" w:themeColor="text1"/>
          <w:sz w:val="24"/>
        </w:rPr>
        <w:t xml:space="preserve">In reviewing a district court's decision in a bench trial, we review the district court's findings of fact for clear error and its conclusions of law </w:t>
      </w:r>
      <w:r w:rsidRPr="00C068D7">
        <w:rPr>
          <w:rFonts w:ascii="Times New Roman" w:eastAsia="Times" w:hAnsi="Times New Roman" w:cs="Times"/>
          <w:i/>
          <w:color w:val="000000" w:themeColor="text1"/>
          <w:sz w:val="24"/>
        </w:rPr>
        <w:t>de novo</w:t>
      </w:r>
      <w:r w:rsidRPr="00C068D7">
        <w:rPr>
          <w:rFonts w:ascii="Times New Roman" w:eastAsia="Times" w:hAnsi="Times New Roman" w:cs="Times"/>
          <w:color w:val="000000" w:themeColor="text1"/>
          <w:sz w:val="24"/>
        </w:rPr>
        <w:t xml:space="preserve">. Mixed questions of law and fact are also reviewed </w:t>
      </w:r>
      <w:r w:rsidRPr="00C068D7">
        <w:rPr>
          <w:rFonts w:ascii="Times New Roman" w:eastAsia="Times" w:hAnsi="Times New Roman" w:cs="Times"/>
          <w:i/>
          <w:color w:val="000000" w:themeColor="text1"/>
          <w:sz w:val="24"/>
        </w:rPr>
        <w:t xml:space="preserve">de novo. </w:t>
      </w:r>
      <w:bookmarkStart w:id="25" w:name="Bookmark_I5Y90KS728T49J0050000400"/>
      <w:bookmarkEnd w:id="25"/>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"https://plus.lexis.com/api/document?collection=cases&amp;id=urn:contentItem:423R-XWY0-0038-X425-00000-00&amp;context=1530671" </w:instrText>
      </w:r>
      <w:r w:rsidRPr="00C068D7">
        <w:rPr>
          <w:rFonts w:ascii="Times New Roman" w:hAnsi="Times New Roman"/>
          <w:color w:val="000000" w:themeColor="text1"/>
          <w:sz w:val="24"/>
        </w:rPr>
        <w:fldChar w:fldCharType="separate"/>
      </w:r>
      <w:r w:rsidRPr="00C068D7">
        <w:rPr>
          <w:rFonts w:ascii="Times New Roman" w:eastAsia="Times" w:hAnsi="Times New Roman" w:cs="Times"/>
          <w:i/>
          <w:color w:val="000000" w:themeColor="text1"/>
          <w:sz w:val="24"/>
          <w:u w:val="single"/>
          <w:shd w:val="clear" w:color="auto" w:fill="FFFFFF"/>
        </w:rPr>
        <w:t>White v. White Rose Food</w:t>
      </w:r>
      <w:r w:rsidRPr="00C068D7">
        <w:rPr>
          <w:rFonts w:ascii="Times New Roman" w:eastAsia="Times" w:hAnsi="Times New Roman" w:cs="Times"/>
          <w:i/>
          <w:color w:val="000000" w:themeColor="text1"/>
          <w:sz w:val="24"/>
          <w:u w:val="single"/>
          <w:shd w:val="clear" w:color="auto" w:fill="FFFFFF"/>
        </w:rPr>
        <w:fldChar w:fldCharType="end"/>
      </w:r>
      <w:hyperlink r:id="rId21" w:history="1">
        <w:r w:rsidRPr="00C068D7">
          <w:rPr>
            <w:rFonts w:ascii="Times New Roman" w:eastAsia="Times" w:hAnsi="Times New Roman" w:cs="Times"/>
            <w:color w:val="000000" w:themeColor="text1"/>
            <w:sz w:val="24"/>
            <w:u w:val="single"/>
            <w:shd w:val="clear" w:color="auto" w:fill="FFFFFF"/>
          </w:rPr>
          <w:t>, 237 F.3d 174, 178 (2d Cir. 2001)</w:t>
        </w:r>
      </w:hyperlink>
      <w:r w:rsidRPr="00C068D7">
        <w:rPr>
          <w:rFonts w:ascii="Times New Roman" w:eastAsia="Times" w:hAnsi="Times New Roman" w:cs="Times"/>
          <w:color w:val="000000" w:themeColor="text1"/>
          <w:sz w:val="24"/>
        </w:rPr>
        <w:t>.</w:t>
      </w:r>
    </w:p>
    <w:p w14:paraId="7354A7BA" w14:textId="77777777" w:rsidR="00382C50" w:rsidRPr="00C068D7" w:rsidRDefault="00382C50" w:rsidP="00125171">
      <w:pPr>
        <w:pStyle w:val="ListParagraph"/>
        <w:widowControl/>
        <w:numPr>
          <w:ilvl w:val="0"/>
          <w:numId w:val="1"/>
        </w:numPr>
        <w:autoSpaceDE/>
        <w:autoSpaceDN/>
        <w:adjustRightInd/>
        <w:snapToGrid w:val="0"/>
        <w:spacing w:after="240"/>
        <w:ind w:left="4032" w:hanging="4032"/>
        <w:contextualSpacing w:val="0"/>
        <w:jc w:val="both"/>
        <w:rPr>
          <w:rFonts w:ascii="Times New Roman" w:hAnsi="Times New Roman"/>
          <w:color w:val="000000" w:themeColor="text1"/>
          <w:sz w:val="24"/>
        </w:rPr>
      </w:pPr>
      <w:r w:rsidRPr="00C068D7">
        <w:rPr>
          <w:rFonts w:ascii="Times New Roman" w:eastAsia="Times" w:hAnsi="Times New Roman" w:cs="Times"/>
          <w:color w:val="000000" w:themeColor="text1"/>
          <w:sz w:val="24"/>
        </w:rPr>
        <w:t>I.</w:t>
      </w:r>
    </w:p>
    <w:p w14:paraId="11B37A4B" w14:textId="77777777"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26" w:name="Bookmark_para_21"/>
      <w:bookmarkStart w:id="27" w:name="Bookmark_I5Y90KS82N1RVW0030000400"/>
      <w:bookmarkStart w:id="28" w:name="Bookmark_LNHNREFclscc4"/>
      <w:bookmarkEnd w:id="26"/>
      <w:bookmarkEnd w:id="27"/>
      <w:bookmarkEnd w:id="28"/>
      <w:r w:rsidRPr="00C068D7">
        <w:rPr>
          <w:rFonts w:ascii="Times New Roman" w:eastAsia="Times" w:hAnsi="Times New Roman" w:cs="Times"/>
          <w:color w:val="000000" w:themeColor="text1"/>
          <w:sz w:val="24"/>
        </w:rPr>
        <w:t xml:space="preserve">VARA creates a scheme of moral rights for artists. </w:t>
      </w:r>
      <w:bookmarkStart w:id="29" w:name="Bookmark_I5Y90KS82N1RVW0050000400"/>
      <w:bookmarkEnd w:id="29"/>
      <w:r w:rsidRPr="00C068D7">
        <w:rPr>
          <w:rFonts w:ascii="Times New Roman" w:eastAsia="Times" w:hAnsi="Times New Roman" w:cs="Times"/>
          <w:color w:val="000000" w:themeColor="text1"/>
          <w:sz w:val="24"/>
        </w:rPr>
        <w:t xml:space="preserve">"The right of attribution generally consists of the right of an artist to be recognized by name as the author of his work or to publish anonymously or pseudonymously </w:t>
      </w:r>
      <w:proofErr w:type="gramStart"/>
      <w:r w:rsidRPr="00C068D7">
        <w:rPr>
          <w:rFonts w:ascii="Times New Roman" w:eastAsia="Times" w:hAnsi="Times New Roman" w:cs="Times"/>
          <w:color w:val="000000" w:themeColor="text1"/>
          <w:sz w:val="24"/>
        </w:rPr>
        <w:t>. . . .</w:t>
      </w:r>
      <w:proofErr w:type="gramEnd"/>
      <w:r w:rsidRPr="00C068D7">
        <w:rPr>
          <w:rFonts w:ascii="Times New Roman" w:eastAsia="Times" w:hAnsi="Times New Roman" w:cs="Times"/>
          <w:color w:val="000000" w:themeColor="text1"/>
          <w:sz w:val="24"/>
        </w:rPr>
        <w:t xml:space="preserve">" </w:t>
      </w:r>
      <w:bookmarkStart w:id="30" w:name="Bookmark_I5Y90KS82N1RVW0020000400"/>
      <w:bookmarkEnd w:id="30"/>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"https://plus.lexis.com/api/document?collection=cases&amp;id=urn:contentItem:3RHM-JB30-001T-D06V-00000-00&amp;context=1530671" </w:instrText>
      </w:r>
      <w:r w:rsidRPr="00C068D7">
        <w:rPr>
          <w:rFonts w:ascii="Times New Roman" w:hAnsi="Times New Roman"/>
          <w:color w:val="000000" w:themeColor="text1"/>
          <w:sz w:val="24"/>
        </w:rPr>
        <w:fldChar w:fldCharType="separate"/>
      </w:r>
      <w:r w:rsidRPr="00C068D7">
        <w:rPr>
          <w:rFonts w:ascii="Times New Roman" w:eastAsia="Times" w:hAnsi="Times New Roman" w:cs="Times"/>
          <w:i/>
          <w:color w:val="000000" w:themeColor="text1"/>
          <w:sz w:val="24"/>
          <w:u w:val="single"/>
          <w:shd w:val="clear" w:color="auto" w:fill="FFFFFF"/>
        </w:rPr>
        <w:t>Carter v. Helmsley-Spear, Inc.</w:t>
      </w:r>
      <w:r w:rsidRPr="00C068D7">
        <w:rPr>
          <w:rFonts w:ascii="Times New Roman" w:eastAsia="Times" w:hAnsi="Times New Roman" w:cs="Times"/>
          <w:i/>
          <w:color w:val="000000" w:themeColor="text1"/>
          <w:sz w:val="24"/>
          <w:u w:val="single"/>
          <w:shd w:val="clear" w:color="auto" w:fill="FFFFFF"/>
        </w:rPr>
        <w:fldChar w:fldCharType="end"/>
      </w:r>
      <w:hyperlink r:id="rId22" w:history="1">
        <w:r w:rsidRPr="00C068D7">
          <w:rPr>
            <w:rFonts w:ascii="Times New Roman" w:eastAsia="Times" w:hAnsi="Times New Roman" w:cs="Times"/>
            <w:color w:val="000000" w:themeColor="text1"/>
            <w:sz w:val="24"/>
            <w:u w:val="single"/>
            <w:shd w:val="clear" w:color="auto" w:fill="FFFFFF"/>
          </w:rPr>
          <w:t>, 71 F.3d 77, 81 (2d Cir. 1995)</w:t>
        </w:r>
      </w:hyperlink>
      <w:r w:rsidRPr="00C068D7">
        <w:rPr>
          <w:rFonts w:ascii="Times New Roman" w:eastAsia="Times" w:hAnsi="Times New Roman" w:cs="Times"/>
          <w:color w:val="000000" w:themeColor="text1"/>
          <w:sz w:val="24"/>
        </w:rPr>
        <w:t xml:space="preserve">. It further includes the right to prevent the artist's work from being attributed to another and to prevent the use of the artist's name on works created by others. </w:t>
      </w:r>
      <w:bookmarkStart w:id="31" w:name="Bookmark_I5Y90KS82N1RVW0050000400_2"/>
      <w:bookmarkEnd w:id="31"/>
      <w:r w:rsidRPr="00C068D7">
        <w:rPr>
          <w:rFonts w:ascii="Times New Roman" w:eastAsia="Times" w:hAnsi="Times New Roman" w:cs="Times"/>
          <w:i/>
          <w:color w:val="000000" w:themeColor="text1"/>
          <w:sz w:val="24"/>
        </w:rPr>
        <w:t>Id.</w:t>
      </w:r>
      <w:r w:rsidRPr="00C068D7">
        <w:rPr>
          <w:rFonts w:ascii="Times New Roman" w:eastAsia="Times" w:hAnsi="Times New Roman" w:cs="Times"/>
          <w:color w:val="000000" w:themeColor="text1"/>
          <w:sz w:val="24"/>
        </w:rPr>
        <w:t xml:space="preserve"> "The right of integrity allows the [artist] to prevent any deforming </w:t>
      </w:r>
      <w:r w:rsidRPr="00C068D7">
        <w:rPr>
          <w:rFonts w:ascii="Times New Roman" w:eastAsia="Times" w:hAnsi="Times New Roman" w:cs="Times"/>
          <w:color w:val="000000" w:themeColor="text1"/>
          <w:sz w:val="24"/>
        </w:rPr>
        <w:lastRenderedPageBreak/>
        <w:t xml:space="preserve">or mutilating changes to his work, even after title in the work has been transferred." </w:t>
      </w:r>
      <w:r w:rsidRPr="00C068D7">
        <w:rPr>
          <w:rFonts w:ascii="Times New Roman" w:eastAsia="Times" w:hAnsi="Times New Roman" w:cs="Times"/>
          <w:i/>
          <w:color w:val="000000" w:themeColor="text1"/>
          <w:sz w:val="24"/>
        </w:rPr>
        <w:t>Id.</w:t>
      </w:r>
      <w:r w:rsidRPr="00C068D7">
        <w:rPr>
          <w:rFonts w:ascii="Times New Roman" w:eastAsia="Times" w:hAnsi="Times New Roman" w:cs="Times"/>
          <w:color w:val="000000" w:themeColor="text1"/>
          <w:sz w:val="24"/>
          <w:vertAlign w:val="superscript"/>
        </w:rPr>
        <w:footnoteReference w:customMarkFollows="1" w:id="1"/>
        <w:t>1</w:t>
      </w:r>
    </w:p>
    <w:p w14:paraId="2D673C21" w14:textId="226541F5"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35" w:name="Bookmark_para_22"/>
      <w:bookmarkStart w:id="36" w:name="Bookmark_I5Y90KS82SF8T50020000400"/>
      <w:bookmarkStart w:id="37" w:name="Bookmark_LNHNREFclscc6"/>
      <w:bookmarkEnd w:id="35"/>
      <w:bookmarkEnd w:id="36"/>
      <w:bookmarkEnd w:id="37"/>
      <w:r w:rsidRPr="00C068D7">
        <w:rPr>
          <w:rFonts w:ascii="Times New Roman" w:eastAsia="Times" w:hAnsi="Times New Roman" w:cs="Times"/>
          <w:color w:val="000000" w:themeColor="text1"/>
          <w:sz w:val="24"/>
        </w:rPr>
        <w:t>Most importantly for this appeal, VARA gives "the author of a work of visual art" the right "to prevent any destruction</w:t>
      </w:r>
      <w:r w:rsidRPr="00C068D7">
        <w:rPr>
          <w:rFonts w:ascii="Times New Roman" w:eastAsia="Times" w:hAnsi="Times New Roman" w:cs="Times"/>
          <w:b/>
          <w:color w:val="000000" w:themeColor="text1"/>
          <w:sz w:val="24"/>
        </w:rPr>
        <w:t> </w:t>
      </w:r>
      <w:r w:rsidRPr="00C068D7">
        <w:rPr>
          <w:rFonts w:ascii="Times New Roman" w:eastAsia="Times" w:hAnsi="Times New Roman" w:cs="Times"/>
          <w:color w:val="000000" w:themeColor="text1"/>
          <w:sz w:val="24"/>
        </w:rPr>
        <w:t xml:space="preserve">of a work of recognized stature" and provides that "any intentional or grossly negligent destruction of that work is a violation of that right." </w:t>
      </w:r>
      <w:hyperlink r:id="rId23" w:history="1">
        <w:r w:rsidRPr="00C068D7">
          <w:rPr>
            <w:rFonts w:ascii="Times New Roman" w:eastAsia="Times" w:hAnsi="Times New Roman" w:cs="Times"/>
            <w:color w:val="000000" w:themeColor="text1"/>
            <w:sz w:val="24"/>
            <w:u w:val="single"/>
            <w:shd w:val="clear" w:color="auto" w:fill="FFFFFF"/>
          </w:rPr>
          <w:t>17 U.S.C. § 106A(a)(3)(B)</w:t>
        </w:r>
      </w:hyperlink>
      <w:r w:rsidRPr="00C068D7">
        <w:rPr>
          <w:rFonts w:ascii="Times New Roman" w:eastAsia="Times" w:hAnsi="Times New Roman" w:cs="Times"/>
          <w:color w:val="000000" w:themeColor="text1"/>
          <w:sz w:val="24"/>
        </w:rPr>
        <w:t xml:space="preserve">; </w:t>
      </w:r>
      <w:r w:rsidRPr="00C068D7">
        <w:rPr>
          <w:rFonts w:ascii="Times New Roman" w:eastAsia="Times" w:hAnsi="Times New Roman" w:cs="Times"/>
          <w:i/>
          <w:color w:val="000000" w:themeColor="text1"/>
          <w:sz w:val="24"/>
        </w:rPr>
        <w:t xml:space="preserve">see also </w:t>
      </w:r>
      <w:bookmarkStart w:id="38" w:name="Bookmark_I5Y90KS82SF8T50010000400"/>
      <w:bookmarkEnd w:id="38"/>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"https://plus.lexis.com/api/document?collection=cases&amp;id=urn:contentItem:3RHM-JB30-001T-D06V-00000-00&amp;context=1530671" </w:instrText>
      </w:r>
      <w:r w:rsidRPr="00C068D7">
        <w:rPr>
          <w:rFonts w:ascii="Times New Roman" w:hAnsi="Times New Roman"/>
          <w:color w:val="000000" w:themeColor="text1"/>
          <w:sz w:val="24"/>
        </w:rPr>
        <w:fldChar w:fldCharType="separate"/>
      </w:r>
      <w:r w:rsidRPr="00C068D7">
        <w:rPr>
          <w:rFonts w:ascii="Times New Roman" w:eastAsia="Times" w:hAnsi="Times New Roman" w:cs="Times"/>
          <w:i/>
          <w:color w:val="000000" w:themeColor="text1"/>
          <w:sz w:val="24"/>
          <w:u w:val="single"/>
          <w:shd w:val="clear" w:color="auto" w:fill="FFFFFF"/>
        </w:rPr>
        <w:t>Carter</w:t>
      </w:r>
      <w:r w:rsidRPr="00C068D7">
        <w:rPr>
          <w:rFonts w:ascii="Times New Roman" w:eastAsia="Times" w:hAnsi="Times New Roman" w:cs="Times"/>
          <w:i/>
          <w:color w:val="000000" w:themeColor="text1"/>
          <w:sz w:val="24"/>
          <w:u w:val="single"/>
          <w:shd w:val="clear" w:color="auto" w:fill="FFFFFF"/>
        </w:rPr>
        <w:fldChar w:fldCharType="end"/>
      </w:r>
      <w:hyperlink r:id="rId24" w:history="1">
        <w:r w:rsidRPr="00C068D7">
          <w:rPr>
            <w:rFonts w:ascii="Times New Roman" w:eastAsia="Times" w:hAnsi="Times New Roman" w:cs="Times"/>
            <w:color w:val="000000" w:themeColor="text1"/>
            <w:sz w:val="24"/>
            <w:u w:val="single"/>
            <w:shd w:val="clear" w:color="auto" w:fill="FFFFFF"/>
          </w:rPr>
          <w:t>, 71 F.3d at 83</w:t>
        </w:r>
      </w:hyperlink>
      <w:r w:rsidRPr="00C068D7">
        <w:rPr>
          <w:rFonts w:ascii="Times New Roman" w:eastAsia="Times" w:hAnsi="Times New Roman" w:cs="Times"/>
          <w:color w:val="000000" w:themeColor="text1"/>
          <w:sz w:val="24"/>
        </w:rPr>
        <w:t xml:space="preserve">. VARA further permits the artist "to prevent any intentional distortion, mutilation, or other modification of [his or her work] which would be prejudicial to his or her honor or reputation," and provides that "any intentional distortion, mutilation, or modification of that work is a violation of that right." </w:t>
      </w:r>
      <w:hyperlink r:id="rId25" w:history="1">
        <w:r w:rsidRPr="00C068D7">
          <w:rPr>
            <w:rFonts w:ascii="Times New Roman" w:eastAsia="Times" w:hAnsi="Times New Roman" w:cs="Times"/>
            <w:color w:val="000000" w:themeColor="text1"/>
            <w:sz w:val="24"/>
            <w:u w:val="single"/>
            <w:shd w:val="clear" w:color="auto" w:fill="FFFFFF"/>
          </w:rPr>
          <w:t>17 U.S.C. § 106A(a)(3)(A)</w:t>
        </w:r>
      </w:hyperlink>
      <w:r w:rsidRPr="00C068D7">
        <w:rPr>
          <w:rFonts w:ascii="Times New Roman" w:eastAsia="Times" w:hAnsi="Times New Roman" w:cs="Times"/>
          <w:color w:val="000000" w:themeColor="text1"/>
          <w:sz w:val="24"/>
        </w:rPr>
        <w:t xml:space="preserve">. The latter provision applies regardless of a work's stature. These rights may not be transferred, but they "may be waived if the author expressly agrees to such waiver in a written instrument signed by the author." </w:t>
      </w:r>
      <w:r w:rsidRPr="00C068D7">
        <w:rPr>
          <w:rFonts w:ascii="Times New Roman" w:eastAsia="Times" w:hAnsi="Times New Roman" w:cs="Times"/>
          <w:i/>
          <w:color w:val="000000" w:themeColor="text1"/>
          <w:sz w:val="24"/>
        </w:rPr>
        <w:t>Id.</w:t>
      </w:r>
      <w:r w:rsidRPr="00C068D7">
        <w:rPr>
          <w:rFonts w:ascii="Times New Roman" w:eastAsia="Times" w:hAnsi="Times New Roman" w:cs="Times"/>
          <w:color w:val="000000" w:themeColor="text1"/>
          <w:sz w:val="24"/>
        </w:rPr>
        <w:t xml:space="preserve"> </w:t>
      </w:r>
      <w:hyperlink r:id="rId26" w:history="1">
        <w:r w:rsidRPr="00C068D7">
          <w:rPr>
            <w:rFonts w:ascii="Times New Roman" w:eastAsia="Times" w:hAnsi="Times New Roman" w:cs="Times"/>
            <w:color w:val="000000" w:themeColor="text1"/>
            <w:sz w:val="24"/>
            <w:u w:val="single"/>
            <w:shd w:val="clear" w:color="auto" w:fill="FFFFFF"/>
          </w:rPr>
          <w:t>§ 106A(e)(1)</w:t>
        </w:r>
      </w:hyperlink>
      <w:r w:rsidRPr="00C068D7">
        <w:rPr>
          <w:rFonts w:ascii="Times New Roman" w:eastAsia="Times" w:hAnsi="Times New Roman" w:cs="Times"/>
          <w:color w:val="000000" w:themeColor="text1"/>
          <w:sz w:val="24"/>
        </w:rPr>
        <w:t>.</w:t>
      </w:r>
    </w:p>
    <w:p w14:paraId="6C7A9042" w14:textId="3AFAB99E"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39" w:name="Bookmark_para_23"/>
      <w:bookmarkStart w:id="40" w:name="Bookmark_LNHNREFclscc7"/>
      <w:bookmarkEnd w:id="39"/>
      <w:bookmarkEnd w:id="40"/>
      <w:r w:rsidRPr="00C068D7">
        <w:rPr>
          <w:rFonts w:ascii="Times New Roman" w:eastAsia="Times" w:hAnsi="Times New Roman" w:cs="Times"/>
          <w:color w:val="000000" w:themeColor="text1"/>
          <w:sz w:val="24"/>
        </w:rPr>
        <w:t xml:space="preserve">Additionally, the statute contains specific provisions governing artwork incorporated into a building. If the artwork is incorporated "in such a way that removing the work from the building will cause the destruction, distortion, mutilation, or other modification of the work," then the artist's rights may be waived if and only if he "consented to the installation of the work in the building . . . in a written instrument." </w:t>
      </w:r>
      <w:r w:rsidRPr="00C068D7">
        <w:rPr>
          <w:rFonts w:ascii="Times New Roman" w:eastAsia="Times" w:hAnsi="Times New Roman" w:cs="Times"/>
          <w:i/>
          <w:color w:val="000000" w:themeColor="text1"/>
          <w:sz w:val="24"/>
        </w:rPr>
        <w:t>Id.</w:t>
      </w:r>
      <w:r w:rsidRPr="00C068D7">
        <w:rPr>
          <w:rFonts w:ascii="Times New Roman" w:eastAsia="Times" w:hAnsi="Times New Roman" w:cs="Times"/>
          <w:color w:val="000000" w:themeColor="text1"/>
          <w:sz w:val="24"/>
        </w:rPr>
        <w:t xml:space="preserve"> </w:t>
      </w:r>
      <w:hyperlink r:id="rId27" w:history="1">
        <w:r w:rsidRPr="00C068D7">
          <w:rPr>
            <w:rFonts w:ascii="Times New Roman" w:eastAsia="Times" w:hAnsi="Times New Roman" w:cs="Times"/>
            <w:color w:val="000000" w:themeColor="text1"/>
            <w:sz w:val="24"/>
            <w:u w:val="single"/>
            <w:shd w:val="clear" w:color="auto" w:fill="FFFFFF"/>
          </w:rPr>
          <w:t>§ 113(d)(1)</w:t>
        </w:r>
      </w:hyperlink>
      <w:r w:rsidRPr="00C068D7">
        <w:rPr>
          <w:rFonts w:ascii="Times New Roman" w:eastAsia="Times" w:hAnsi="Times New Roman" w:cs="Times"/>
          <w:color w:val="000000" w:themeColor="text1"/>
          <w:sz w:val="24"/>
        </w:rPr>
        <w:t>. This instrument must be "signed by the owner of the building and the author" and</w:t>
      </w:r>
      <w:r w:rsidRPr="00C068D7">
        <w:rPr>
          <w:rFonts w:ascii="Times New Roman" w:eastAsia="Times" w:hAnsi="Times New Roman" w:cs="Times"/>
          <w:b/>
          <w:color w:val="000000" w:themeColor="text1"/>
          <w:sz w:val="24"/>
        </w:rPr>
        <w:t> </w:t>
      </w:r>
      <w:r w:rsidRPr="00C068D7">
        <w:rPr>
          <w:rFonts w:ascii="Times New Roman" w:eastAsia="Times" w:hAnsi="Times New Roman" w:cs="Times"/>
          <w:color w:val="000000" w:themeColor="text1"/>
          <w:sz w:val="24"/>
        </w:rPr>
        <w:t>must "</w:t>
      </w:r>
      <w:proofErr w:type="spellStart"/>
      <w:r w:rsidRPr="00C068D7">
        <w:rPr>
          <w:rFonts w:ascii="Times New Roman" w:eastAsia="Times" w:hAnsi="Times New Roman" w:cs="Times"/>
          <w:color w:val="000000" w:themeColor="text1"/>
          <w:sz w:val="24"/>
        </w:rPr>
        <w:t>specif</w:t>
      </w:r>
      <w:proofErr w:type="spellEnd"/>
      <w:r w:rsidRPr="00C068D7">
        <w:rPr>
          <w:rFonts w:ascii="Times New Roman" w:eastAsia="Times" w:hAnsi="Times New Roman" w:cs="Times"/>
          <w:color w:val="000000" w:themeColor="text1"/>
          <w:sz w:val="24"/>
        </w:rPr>
        <w:t xml:space="preserve">[y] that the installation of the work may subject the work to destruction, distortion, mutilation, or other modification, by reason of its removal." </w:t>
      </w:r>
      <w:r w:rsidRPr="00C068D7">
        <w:rPr>
          <w:rFonts w:ascii="Times New Roman" w:eastAsia="Times" w:hAnsi="Times New Roman" w:cs="Times"/>
          <w:i/>
          <w:color w:val="000000" w:themeColor="text1"/>
          <w:sz w:val="24"/>
        </w:rPr>
        <w:t>Id.</w:t>
      </w:r>
      <w:r w:rsidRPr="00C068D7">
        <w:rPr>
          <w:rFonts w:ascii="Times New Roman" w:eastAsia="Times" w:hAnsi="Times New Roman" w:cs="Times"/>
          <w:color w:val="000000" w:themeColor="text1"/>
          <w:sz w:val="24"/>
          <w:vertAlign w:val="superscript"/>
        </w:rPr>
        <w:footnoteReference w:customMarkFollows="1" w:id="2"/>
        <w:t>2</w:t>
      </w:r>
      <w:r w:rsidRPr="00C068D7">
        <w:rPr>
          <w:rFonts w:ascii="Times New Roman" w:eastAsia="Times" w:hAnsi="Times New Roman" w:cs="Times"/>
          <w:color w:val="000000" w:themeColor="text1"/>
          <w:sz w:val="24"/>
        </w:rPr>
        <w:t xml:space="preserve"> However, "[</w:t>
      </w:r>
      <w:proofErr w:type="spellStart"/>
      <w:r w:rsidRPr="00C068D7">
        <w:rPr>
          <w:rFonts w:ascii="Times New Roman" w:eastAsia="Times" w:hAnsi="Times New Roman" w:cs="Times"/>
          <w:color w:val="000000" w:themeColor="text1"/>
          <w:sz w:val="24"/>
        </w:rPr>
        <w:t>i</w:t>
      </w:r>
      <w:proofErr w:type="spellEnd"/>
      <w:r w:rsidRPr="00C068D7">
        <w:rPr>
          <w:rFonts w:ascii="Times New Roman" w:eastAsia="Times" w:hAnsi="Times New Roman" w:cs="Times"/>
          <w:color w:val="000000" w:themeColor="text1"/>
          <w:sz w:val="24"/>
        </w:rPr>
        <w:t xml:space="preserve">]f the owner of a building wishes to remove a work of visual art which is a part of such building and which can be removed from the building without the destruction, distortion, mutilation, or other modification of the work," then the artist's rights </w:t>
      </w:r>
      <w:proofErr w:type="gramStart"/>
      <w:r w:rsidRPr="00C068D7">
        <w:rPr>
          <w:rFonts w:ascii="Times New Roman" w:eastAsia="Times" w:hAnsi="Times New Roman" w:cs="Times"/>
          <w:color w:val="000000" w:themeColor="text1"/>
          <w:sz w:val="24"/>
        </w:rPr>
        <w:t>prevail</w:t>
      </w:r>
      <w:r w:rsidRPr="00C068D7">
        <w:rPr>
          <w:rFonts w:ascii="Times New Roman" w:eastAsia="Times" w:hAnsi="Times New Roman" w:cs="Times"/>
          <w:b/>
          <w:color w:val="000000" w:themeColor="text1"/>
          <w:sz w:val="24"/>
        </w:rPr>
        <w:t> </w:t>
      </w:r>
      <w:r w:rsidRPr="00C068D7">
        <w:rPr>
          <w:rFonts w:ascii="Times New Roman" w:eastAsia="Times" w:hAnsi="Times New Roman" w:cs="Times"/>
          <w:color w:val="000000" w:themeColor="text1"/>
          <w:sz w:val="24"/>
        </w:rPr>
        <w:t xml:space="preserve"> unless</w:t>
      </w:r>
      <w:proofErr w:type="gramEnd"/>
      <w:r w:rsidRPr="00C068D7">
        <w:rPr>
          <w:rFonts w:ascii="Times New Roman" w:eastAsia="Times" w:hAnsi="Times New Roman" w:cs="Times"/>
          <w:color w:val="000000" w:themeColor="text1"/>
          <w:sz w:val="24"/>
        </w:rPr>
        <w:t xml:space="preserve"> one of two things has occurred. </w:t>
      </w:r>
      <w:r w:rsidRPr="00C068D7">
        <w:rPr>
          <w:rFonts w:ascii="Times New Roman" w:eastAsia="Times" w:hAnsi="Times New Roman" w:cs="Times"/>
          <w:i/>
          <w:color w:val="000000" w:themeColor="text1"/>
          <w:sz w:val="24"/>
        </w:rPr>
        <w:t>Id.</w:t>
      </w:r>
      <w:r w:rsidRPr="00C068D7">
        <w:rPr>
          <w:rFonts w:ascii="Times New Roman" w:eastAsia="Times" w:hAnsi="Times New Roman" w:cs="Times"/>
          <w:color w:val="000000" w:themeColor="text1"/>
          <w:sz w:val="24"/>
        </w:rPr>
        <w:t xml:space="preserve"> </w:t>
      </w:r>
      <w:hyperlink r:id="rId28" w:history="1">
        <w:r w:rsidRPr="00C068D7">
          <w:rPr>
            <w:rFonts w:ascii="Times New Roman" w:eastAsia="Times" w:hAnsi="Times New Roman" w:cs="Times"/>
            <w:color w:val="000000" w:themeColor="text1"/>
            <w:sz w:val="24"/>
            <w:u w:val="single"/>
            <w:shd w:val="clear" w:color="auto" w:fill="FFFFFF"/>
          </w:rPr>
          <w:t>§ 113(d)(2)</w:t>
        </w:r>
      </w:hyperlink>
      <w:r w:rsidRPr="00C068D7">
        <w:rPr>
          <w:rFonts w:ascii="Times New Roman" w:eastAsia="Times" w:hAnsi="Times New Roman" w:cs="Times"/>
          <w:color w:val="000000" w:themeColor="text1"/>
          <w:sz w:val="24"/>
        </w:rPr>
        <w:t xml:space="preserve">. First, the building's owner "has made a diligent, good faith attempt without success to notify the author of the owner's intended action affecting the work of visual art." </w:t>
      </w:r>
      <w:r w:rsidRPr="00C068D7">
        <w:rPr>
          <w:rFonts w:ascii="Times New Roman" w:eastAsia="Times" w:hAnsi="Times New Roman" w:cs="Times"/>
          <w:i/>
          <w:color w:val="000000" w:themeColor="text1"/>
          <w:sz w:val="24"/>
        </w:rPr>
        <w:t>Id.</w:t>
      </w:r>
      <w:r w:rsidRPr="00C068D7">
        <w:rPr>
          <w:rFonts w:ascii="Times New Roman" w:eastAsia="Times" w:hAnsi="Times New Roman" w:cs="Times"/>
          <w:color w:val="000000" w:themeColor="text1"/>
          <w:sz w:val="24"/>
        </w:rPr>
        <w:t xml:space="preserve"> Or second, the owner has "provide[d] such notice in writing and the person so notified failed, within 90 days after receiving such notice, either to remove the work or to pay for its removal." </w:t>
      </w:r>
      <w:r w:rsidRPr="00C068D7">
        <w:rPr>
          <w:rFonts w:ascii="Times New Roman" w:eastAsia="Times" w:hAnsi="Times New Roman" w:cs="Times"/>
          <w:i/>
          <w:color w:val="000000" w:themeColor="text1"/>
          <w:sz w:val="24"/>
        </w:rPr>
        <w:t>Id.</w:t>
      </w:r>
    </w:p>
    <w:p w14:paraId="34FD1EC0" w14:textId="5F28B0FE"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42" w:name="Bookmark_para_24"/>
      <w:bookmarkStart w:id="43" w:name="Bookmark_LNHNREFclscc8"/>
      <w:bookmarkEnd w:id="42"/>
      <w:bookmarkEnd w:id="43"/>
      <w:r w:rsidRPr="00C068D7">
        <w:rPr>
          <w:rFonts w:ascii="Times New Roman" w:eastAsia="Times" w:hAnsi="Times New Roman" w:cs="Times"/>
          <w:color w:val="000000" w:themeColor="text1"/>
          <w:sz w:val="24"/>
        </w:rPr>
        <w:lastRenderedPageBreak/>
        <w:t xml:space="preserve">Damages for violations of VARA's rights of attribution and integrity are governed by general copyright law and include both actual and statutory damages. Statutory damages may range from $750 to $30,000 per work "as the court considers just." </w:t>
      </w:r>
      <w:r w:rsidRPr="00C068D7">
        <w:rPr>
          <w:rFonts w:ascii="Times New Roman" w:eastAsia="Times" w:hAnsi="Times New Roman" w:cs="Times"/>
          <w:i/>
          <w:color w:val="000000" w:themeColor="text1"/>
          <w:sz w:val="24"/>
        </w:rPr>
        <w:t>Id.</w:t>
      </w:r>
      <w:r w:rsidRPr="00C068D7">
        <w:rPr>
          <w:rFonts w:ascii="Times New Roman" w:eastAsia="Times" w:hAnsi="Times New Roman" w:cs="Times"/>
          <w:color w:val="000000" w:themeColor="text1"/>
          <w:sz w:val="24"/>
        </w:rPr>
        <w:t xml:space="preserve"> </w:t>
      </w:r>
      <w:hyperlink r:id="rId29" w:history="1">
        <w:r w:rsidRPr="00C068D7">
          <w:rPr>
            <w:rFonts w:ascii="Times New Roman" w:eastAsia="Times" w:hAnsi="Times New Roman" w:cs="Times"/>
            <w:color w:val="000000" w:themeColor="text1"/>
            <w:sz w:val="24"/>
            <w:u w:val="single"/>
            <w:shd w:val="clear" w:color="auto" w:fill="FFFFFF"/>
          </w:rPr>
          <w:t>§ 504(c)(1)</w:t>
        </w:r>
      </w:hyperlink>
      <w:r w:rsidRPr="00C068D7">
        <w:rPr>
          <w:rFonts w:ascii="Times New Roman" w:eastAsia="Times" w:hAnsi="Times New Roman" w:cs="Times"/>
          <w:color w:val="000000" w:themeColor="text1"/>
          <w:sz w:val="24"/>
        </w:rPr>
        <w:t xml:space="preserve">. However, if "the [artist] sustains the burden of proving, and the court finds, that [a violation of VARA] was committed willfully, the court in its discretion may increase the award of statutory damages to a sum of not more than $150,000 [per work]." </w:t>
      </w:r>
      <w:r w:rsidRPr="00C068D7">
        <w:rPr>
          <w:rFonts w:ascii="Times New Roman" w:eastAsia="Times" w:hAnsi="Times New Roman" w:cs="Times"/>
          <w:i/>
          <w:color w:val="000000" w:themeColor="text1"/>
          <w:sz w:val="24"/>
        </w:rPr>
        <w:t>Id.</w:t>
      </w:r>
      <w:r w:rsidRPr="00C068D7">
        <w:rPr>
          <w:rFonts w:ascii="Times New Roman" w:eastAsia="Times" w:hAnsi="Times New Roman" w:cs="Times"/>
          <w:color w:val="000000" w:themeColor="text1"/>
          <w:sz w:val="24"/>
        </w:rPr>
        <w:t xml:space="preserve"> </w:t>
      </w:r>
      <w:hyperlink r:id="rId30" w:history="1">
        <w:r w:rsidRPr="00C068D7">
          <w:rPr>
            <w:rFonts w:ascii="Times New Roman" w:eastAsia="Times" w:hAnsi="Times New Roman" w:cs="Times"/>
            <w:color w:val="000000" w:themeColor="text1"/>
            <w:sz w:val="24"/>
            <w:u w:val="single"/>
            <w:shd w:val="clear" w:color="auto" w:fill="FFFFFF"/>
          </w:rPr>
          <w:t>§ 504(c)(2)</w:t>
        </w:r>
      </w:hyperlink>
      <w:r w:rsidRPr="00C068D7">
        <w:rPr>
          <w:rFonts w:ascii="Times New Roman" w:eastAsia="Times" w:hAnsi="Times New Roman" w:cs="Times"/>
          <w:color w:val="000000" w:themeColor="text1"/>
          <w:sz w:val="24"/>
        </w:rPr>
        <w:t>.</w:t>
      </w:r>
    </w:p>
    <w:p w14:paraId="6D917F71" w14:textId="77777777" w:rsidR="00382C50" w:rsidRPr="00C068D7" w:rsidRDefault="00382C50" w:rsidP="00C068D7">
      <w:pPr>
        <w:pStyle w:val="ListParagraph"/>
        <w:widowControl/>
        <w:numPr>
          <w:ilvl w:val="0"/>
          <w:numId w:val="1"/>
        </w:numPr>
        <w:autoSpaceDE/>
        <w:autoSpaceDN/>
        <w:adjustRightInd/>
        <w:snapToGrid w:val="0"/>
        <w:spacing w:after="240"/>
        <w:ind w:left="3600" w:hanging="3600"/>
        <w:contextualSpacing w:val="0"/>
        <w:jc w:val="both"/>
        <w:rPr>
          <w:rFonts w:ascii="Times New Roman" w:hAnsi="Times New Roman"/>
          <w:color w:val="000000" w:themeColor="text1"/>
          <w:sz w:val="24"/>
        </w:rPr>
      </w:pPr>
      <w:r w:rsidRPr="00C068D7">
        <w:rPr>
          <w:rFonts w:ascii="Times New Roman" w:eastAsia="Times" w:hAnsi="Times New Roman" w:cs="Times"/>
          <w:color w:val="000000" w:themeColor="text1"/>
          <w:sz w:val="24"/>
        </w:rPr>
        <w:t>II.</w:t>
      </w:r>
    </w:p>
    <w:p w14:paraId="01D30E23" w14:textId="77777777"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44" w:name="Bookmark_para_25"/>
      <w:bookmarkStart w:id="45" w:name="Bookmark_I5Y90KS82SF8T50040000400"/>
      <w:bookmarkEnd w:id="44"/>
      <w:bookmarkEnd w:id="45"/>
      <w:r w:rsidRPr="00C068D7">
        <w:rPr>
          <w:rFonts w:ascii="Times New Roman" w:eastAsia="Times" w:hAnsi="Times New Roman" w:cs="Times"/>
          <w:color w:val="000000" w:themeColor="text1"/>
          <w:sz w:val="24"/>
        </w:rPr>
        <w:t xml:space="preserve">The crux of the parties' dispute on this appeal is whether the works at 5Pointz were works of "recognized stature," thereby protected from destruction under </w:t>
      </w:r>
      <w:hyperlink r:id="rId31" w:history="1">
        <w:r w:rsidRPr="00C068D7">
          <w:rPr>
            <w:rFonts w:ascii="Times New Roman" w:eastAsia="Times" w:hAnsi="Times New Roman" w:cs="Times"/>
            <w:color w:val="000000" w:themeColor="text1"/>
            <w:sz w:val="24"/>
            <w:u w:val="single"/>
            <w:shd w:val="clear" w:color="auto" w:fill="FFFFFF"/>
          </w:rPr>
          <w:t>§ 106A(a)(3)(B)</w:t>
        </w:r>
      </w:hyperlink>
      <w:r w:rsidRPr="00C068D7">
        <w:rPr>
          <w:rFonts w:ascii="Times New Roman" w:eastAsia="Times" w:hAnsi="Times New Roman" w:cs="Times"/>
          <w:color w:val="000000" w:themeColor="text1"/>
          <w:sz w:val="24"/>
        </w:rPr>
        <w:t xml:space="preserve">. </w:t>
      </w:r>
      <w:bookmarkStart w:id="46" w:name="Bookmark_LNHNREFclscc9"/>
      <w:bookmarkEnd w:id="46"/>
      <w:r w:rsidRPr="00C068D7">
        <w:rPr>
          <w:rFonts w:ascii="Times New Roman" w:eastAsia="Times" w:hAnsi="Times New Roman" w:cs="Times"/>
          <w:color w:val="000000" w:themeColor="text1"/>
          <w:sz w:val="24"/>
        </w:rPr>
        <w:t xml:space="preserve">We conclude that a work is of recognized stature when it is one of high quality, status, or caliber that has been acknowledged as such by a relevant community. </w:t>
      </w:r>
      <w:r w:rsidRPr="00C068D7">
        <w:rPr>
          <w:rFonts w:ascii="Times New Roman" w:eastAsia="Times" w:hAnsi="Times New Roman" w:cs="Times"/>
          <w:i/>
          <w:color w:val="000000" w:themeColor="text1"/>
          <w:sz w:val="24"/>
        </w:rPr>
        <w:t xml:space="preserve">See </w:t>
      </w:r>
      <w:bookmarkStart w:id="47" w:name="Bookmark_I5Y90KS82SF8T50030000400"/>
      <w:bookmarkEnd w:id="47"/>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"https://plus.lexis.com/api/document?collection=cases&amp;id=urn:contentItem:3S4N-CCW0-003B-V3R5-00000-00&amp;context=1530671" </w:instrText>
      </w:r>
      <w:r w:rsidRPr="00C068D7">
        <w:rPr>
          <w:rFonts w:ascii="Times New Roman" w:hAnsi="Times New Roman"/>
          <w:color w:val="000000" w:themeColor="text1"/>
          <w:sz w:val="24"/>
        </w:rPr>
        <w:fldChar w:fldCharType="separate"/>
      </w:r>
      <w:r w:rsidRPr="00C068D7">
        <w:rPr>
          <w:rFonts w:ascii="Times New Roman" w:eastAsia="Times" w:hAnsi="Times New Roman" w:cs="Times"/>
          <w:i/>
          <w:color w:val="000000" w:themeColor="text1"/>
          <w:sz w:val="24"/>
          <w:u w:val="single"/>
          <w:shd w:val="clear" w:color="auto" w:fill="FFFFFF"/>
        </w:rPr>
        <w:t>Carter v. Helmsley-Spear, Inc.</w:t>
      </w:r>
      <w:r w:rsidRPr="00C068D7">
        <w:rPr>
          <w:rFonts w:ascii="Times New Roman" w:eastAsia="Times" w:hAnsi="Times New Roman" w:cs="Times"/>
          <w:i/>
          <w:color w:val="000000" w:themeColor="text1"/>
          <w:sz w:val="24"/>
          <w:u w:val="single"/>
          <w:shd w:val="clear" w:color="auto" w:fill="FFFFFF"/>
        </w:rPr>
        <w:fldChar w:fldCharType="end"/>
      </w:r>
      <w:hyperlink r:id="rId32" w:history="1">
        <w:r w:rsidRPr="00C068D7">
          <w:rPr>
            <w:rFonts w:ascii="Times New Roman" w:eastAsia="Times" w:hAnsi="Times New Roman" w:cs="Times"/>
            <w:color w:val="000000" w:themeColor="text1"/>
            <w:sz w:val="24"/>
            <w:u w:val="single"/>
            <w:shd w:val="clear" w:color="auto" w:fill="FFFFFF"/>
          </w:rPr>
          <w:t>, 861 F. Supp. 303, 324-25 (S.D.N.Y. 1994)</w:t>
        </w:r>
      </w:hyperlink>
      <w:r w:rsidRPr="00C068D7">
        <w:rPr>
          <w:rFonts w:ascii="Times New Roman" w:eastAsia="Times" w:hAnsi="Times New Roman" w:cs="Times"/>
          <w:color w:val="000000" w:themeColor="text1"/>
          <w:sz w:val="24"/>
        </w:rPr>
        <w:t xml:space="preserve">, </w:t>
      </w:r>
      <w:r w:rsidRPr="00C068D7">
        <w:rPr>
          <w:rFonts w:ascii="Times New Roman" w:eastAsia="Times" w:hAnsi="Times New Roman" w:cs="Times"/>
          <w:i/>
          <w:color w:val="000000" w:themeColor="text1"/>
          <w:sz w:val="24"/>
        </w:rPr>
        <w:t xml:space="preserve">aff'd in part, vacated in part, </w:t>
      </w:r>
      <w:proofErr w:type="spellStart"/>
      <w:r w:rsidRPr="00C068D7">
        <w:rPr>
          <w:rFonts w:ascii="Times New Roman" w:eastAsia="Times" w:hAnsi="Times New Roman" w:cs="Times"/>
          <w:i/>
          <w:color w:val="000000" w:themeColor="text1"/>
          <w:sz w:val="24"/>
        </w:rPr>
        <w:t>rev'd</w:t>
      </w:r>
      <w:proofErr w:type="spellEnd"/>
      <w:r w:rsidRPr="00C068D7">
        <w:rPr>
          <w:rFonts w:ascii="Times New Roman" w:eastAsia="Times" w:hAnsi="Times New Roman" w:cs="Times"/>
          <w:i/>
          <w:color w:val="000000" w:themeColor="text1"/>
          <w:sz w:val="24"/>
        </w:rPr>
        <w:t xml:space="preserve"> in part</w:t>
      </w:r>
      <w:r w:rsidRPr="00C068D7">
        <w:rPr>
          <w:rFonts w:ascii="Times New Roman" w:eastAsia="Times" w:hAnsi="Times New Roman" w:cs="Times"/>
          <w:color w:val="000000" w:themeColor="text1"/>
          <w:sz w:val="24"/>
        </w:rPr>
        <w:t xml:space="preserve">, </w:t>
      </w:r>
      <w:hyperlink r:id="rId33" w:history="1">
        <w:r w:rsidRPr="00C068D7">
          <w:rPr>
            <w:rFonts w:ascii="Times New Roman" w:eastAsia="Times" w:hAnsi="Times New Roman" w:cs="Times"/>
            <w:color w:val="000000" w:themeColor="text1"/>
            <w:sz w:val="24"/>
            <w:u w:val="single"/>
            <w:shd w:val="clear" w:color="auto" w:fill="FFFFFF"/>
          </w:rPr>
          <w:t>71 F.3d 77</w:t>
        </w:r>
      </w:hyperlink>
      <w:r w:rsidRPr="00C068D7">
        <w:rPr>
          <w:rFonts w:ascii="Times New Roman" w:eastAsia="Times" w:hAnsi="Times New Roman" w:cs="Times"/>
          <w:color w:val="000000" w:themeColor="text1"/>
          <w:sz w:val="24"/>
        </w:rPr>
        <w:t xml:space="preserve">; </w:t>
      </w:r>
      <w:r w:rsidRPr="00C068D7">
        <w:rPr>
          <w:rFonts w:ascii="Times New Roman" w:eastAsia="Times" w:hAnsi="Times New Roman" w:cs="Times"/>
          <w:i/>
          <w:color w:val="000000" w:themeColor="text1"/>
          <w:sz w:val="24"/>
        </w:rPr>
        <w:t xml:space="preserve">see also, e.g., </w:t>
      </w:r>
      <w:bookmarkStart w:id="48" w:name="Bookmark_I5Y90KS82SF8T50050000400"/>
      <w:bookmarkEnd w:id="48"/>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"https://plus.lexis.com/api/document?collection=cases&amp;id=urn:contentItem:3X9R-M5W0-0038-X19C-00000-00&amp;context=1530671" </w:instrText>
      </w:r>
      <w:r w:rsidRPr="00C068D7">
        <w:rPr>
          <w:rFonts w:ascii="Times New Roman" w:hAnsi="Times New Roman"/>
          <w:color w:val="000000" w:themeColor="text1"/>
          <w:sz w:val="24"/>
        </w:rPr>
        <w:fldChar w:fldCharType="separate"/>
      </w:r>
      <w:r w:rsidRPr="00C068D7">
        <w:rPr>
          <w:rFonts w:ascii="Times New Roman" w:eastAsia="Times" w:hAnsi="Times New Roman" w:cs="Times"/>
          <w:i/>
          <w:color w:val="000000" w:themeColor="text1"/>
          <w:sz w:val="24"/>
          <w:u w:val="single"/>
          <w:shd w:val="clear" w:color="auto" w:fill="FFFFFF"/>
        </w:rPr>
        <w:t>Martin v. City of Indianapolis</w:t>
      </w:r>
      <w:r w:rsidRPr="00C068D7">
        <w:rPr>
          <w:rFonts w:ascii="Times New Roman" w:eastAsia="Times" w:hAnsi="Times New Roman" w:cs="Times"/>
          <w:i/>
          <w:color w:val="000000" w:themeColor="text1"/>
          <w:sz w:val="24"/>
          <w:u w:val="single"/>
          <w:shd w:val="clear" w:color="auto" w:fill="FFFFFF"/>
        </w:rPr>
        <w:fldChar w:fldCharType="end"/>
      </w:r>
      <w:hyperlink r:id="rId34" w:history="1">
        <w:r w:rsidRPr="00C068D7">
          <w:rPr>
            <w:rFonts w:ascii="Times New Roman" w:eastAsia="Times" w:hAnsi="Times New Roman" w:cs="Times"/>
            <w:color w:val="000000" w:themeColor="text1"/>
            <w:sz w:val="24"/>
            <w:u w:val="single"/>
            <w:shd w:val="clear" w:color="auto" w:fill="FFFFFF"/>
          </w:rPr>
          <w:t>, 192 F.3d 608, 612 (7th Cir. 1999)</w:t>
        </w:r>
      </w:hyperlink>
      <w:r w:rsidRPr="00C068D7">
        <w:rPr>
          <w:rFonts w:ascii="Times New Roman" w:eastAsia="Times" w:hAnsi="Times New Roman" w:cs="Times"/>
          <w:color w:val="000000" w:themeColor="text1"/>
          <w:sz w:val="24"/>
        </w:rPr>
        <w:t>. A work's high quality, status, or caliber is its stature, and the acknowledgement of that stature speaks to the work's recognition.</w:t>
      </w:r>
    </w:p>
    <w:p w14:paraId="18D20067" w14:textId="5A7777BC"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49" w:name="Bookmark_para_26"/>
      <w:bookmarkStart w:id="50" w:name="Bookmark_I5Y90KS92N1RVX0030000400"/>
      <w:bookmarkStart w:id="51" w:name="Bookmark_LNHNREFclscc10"/>
      <w:bookmarkEnd w:id="49"/>
      <w:bookmarkEnd w:id="50"/>
      <w:bookmarkEnd w:id="51"/>
      <w:r w:rsidRPr="00C068D7">
        <w:rPr>
          <w:rFonts w:ascii="Times New Roman" w:eastAsia="Times" w:hAnsi="Times New Roman" w:cs="Times"/>
          <w:color w:val="000000" w:themeColor="text1"/>
          <w:sz w:val="24"/>
        </w:rPr>
        <w:t xml:space="preserve">The most important component of stature will generally be artistic quality. The relevant community will typically be the artistic community, comprising art historians, art critics, museum curators, gallerists, prominent artists, and other experts. Since recognized stature is necessarily a fluid concept, we can conceive of circumstances under which, for example, a "poor" work by an otherwise highly regarded artist nonetheless merits protection from destruction under VARA. This approach helps to ensure that VARA protects "the public interest in preserving [the] nation's culture," </w:t>
      </w:r>
      <w:bookmarkStart w:id="52" w:name="Bookmark_I5Y90KS92N1RVX0020000400"/>
      <w:bookmarkEnd w:id="52"/>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"https://plus.lexis.com/api/document?collection=cases&amp;id=urn:contentItem:3RHM-JB30-001T-D06V-00000-00&amp;context=1530671" </w:instrText>
      </w:r>
      <w:r w:rsidRPr="00C068D7">
        <w:rPr>
          <w:rFonts w:ascii="Times New Roman" w:hAnsi="Times New Roman"/>
          <w:color w:val="000000" w:themeColor="text1"/>
          <w:sz w:val="24"/>
        </w:rPr>
        <w:fldChar w:fldCharType="separate"/>
      </w:r>
      <w:r w:rsidRPr="00C068D7">
        <w:rPr>
          <w:rFonts w:ascii="Times New Roman" w:eastAsia="Times" w:hAnsi="Times New Roman" w:cs="Times"/>
          <w:i/>
          <w:color w:val="000000" w:themeColor="text1"/>
          <w:sz w:val="24"/>
          <w:u w:val="single"/>
          <w:shd w:val="clear" w:color="auto" w:fill="FFFFFF"/>
        </w:rPr>
        <w:t>Carter</w:t>
      </w:r>
      <w:r w:rsidRPr="00C068D7">
        <w:rPr>
          <w:rFonts w:ascii="Times New Roman" w:eastAsia="Times" w:hAnsi="Times New Roman" w:cs="Times"/>
          <w:i/>
          <w:color w:val="000000" w:themeColor="text1"/>
          <w:sz w:val="24"/>
          <w:u w:val="single"/>
          <w:shd w:val="clear" w:color="auto" w:fill="FFFFFF"/>
        </w:rPr>
        <w:fldChar w:fldCharType="end"/>
      </w:r>
      <w:hyperlink r:id="rId35" w:history="1">
        <w:r w:rsidRPr="00C068D7">
          <w:rPr>
            <w:rFonts w:ascii="Times New Roman" w:eastAsia="Times" w:hAnsi="Times New Roman" w:cs="Times"/>
            <w:color w:val="000000" w:themeColor="text1"/>
            <w:sz w:val="24"/>
            <w:u w:val="single"/>
            <w:shd w:val="clear" w:color="auto" w:fill="FFFFFF"/>
          </w:rPr>
          <w:t>, 71 F.3d at 81</w:t>
        </w:r>
      </w:hyperlink>
      <w:r w:rsidRPr="00C068D7">
        <w:rPr>
          <w:rFonts w:ascii="Times New Roman" w:eastAsia="Times" w:hAnsi="Times New Roman" w:cs="Times"/>
          <w:color w:val="000000" w:themeColor="text1"/>
          <w:sz w:val="24"/>
        </w:rPr>
        <w:t xml:space="preserve">. This approach also ensures that the personal judgment of the court is not the determinative factor in the court's analysis. </w:t>
      </w:r>
      <w:r w:rsidRPr="00C068D7">
        <w:rPr>
          <w:rFonts w:ascii="Times New Roman" w:eastAsia="Times" w:hAnsi="Times New Roman" w:cs="Times"/>
          <w:i/>
          <w:color w:val="000000" w:themeColor="text1"/>
          <w:sz w:val="24"/>
        </w:rPr>
        <w:t>See</w:t>
      </w:r>
      <w:r w:rsidRPr="00C068D7">
        <w:rPr>
          <w:rFonts w:ascii="Times New Roman" w:eastAsia="Times" w:hAnsi="Times New Roman" w:cs="Times"/>
          <w:color w:val="000000" w:themeColor="text1"/>
          <w:sz w:val="24"/>
        </w:rPr>
        <w:t xml:space="preserve"> Christopher J. Robinson, </w:t>
      </w:r>
      <w:r w:rsidRPr="00C068D7">
        <w:rPr>
          <w:rFonts w:ascii="Times New Roman" w:eastAsia="Times" w:hAnsi="Times New Roman" w:cs="Times"/>
          <w:i/>
          <w:color w:val="000000" w:themeColor="text1"/>
          <w:sz w:val="24"/>
        </w:rPr>
        <w:t>The "Recognized Stature" Standard in the Visual Artists Rights Act</w:t>
      </w:r>
      <w:r w:rsidRPr="00C068D7">
        <w:rPr>
          <w:rFonts w:ascii="Times New Roman" w:eastAsia="Times" w:hAnsi="Times New Roman" w:cs="Times"/>
          <w:color w:val="000000" w:themeColor="text1"/>
          <w:sz w:val="24"/>
        </w:rPr>
        <w:t xml:space="preserve">, </w:t>
      </w:r>
      <w:hyperlink r:id="rId36" w:history="1">
        <w:r w:rsidRPr="00C068D7">
          <w:rPr>
            <w:rFonts w:ascii="Times New Roman" w:eastAsia="Times" w:hAnsi="Times New Roman" w:cs="Times"/>
            <w:color w:val="000000" w:themeColor="text1"/>
            <w:sz w:val="24"/>
            <w:u w:val="single"/>
            <w:shd w:val="clear" w:color="auto" w:fill="FFFFFF"/>
          </w:rPr>
          <w:t>68 Fordham L. Rev. 1935, 1945 n.84 (2000)</w:t>
        </w:r>
      </w:hyperlink>
      <w:r w:rsidRPr="00C068D7">
        <w:rPr>
          <w:rFonts w:ascii="Times New Roman" w:eastAsia="Times" w:hAnsi="Times New Roman" w:cs="Times"/>
          <w:color w:val="000000" w:themeColor="text1"/>
          <w:sz w:val="24"/>
        </w:rPr>
        <w:t>.</w:t>
      </w:r>
    </w:p>
    <w:p w14:paraId="4B661EED" w14:textId="77777777"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53" w:name="Bookmark_para_27"/>
      <w:bookmarkStart w:id="54" w:name="Bookmark_I5Y90KS92N1RVX0050000400"/>
      <w:bookmarkStart w:id="55" w:name="Bookmark_LNHNREFclscc11"/>
      <w:bookmarkEnd w:id="53"/>
      <w:bookmarkEnd w:id="54"/>
      <w:bookmarkEnd w:id="55"/>
      <w:r w:rsidRPr="00C068D7">
        <w:rPr>
          <w:rFonts w:ascii="Times New Roman" w:eastAsia="Times" w:hAnsi="Times New Roman" w:cs="Times"/>
          <w:color w:val="000000" w:themeColor="text1"/>
          <w:sz w:val="24"/>
        </w:rPr>
        <w:t>After all, we are mindful of Justice Holmes's cautionary observation that "[</w:t>
      </w:r>
      <w:proofErr w:type="spellStart"/>
      <w:r w:rsidRPr="00C068D7">
        <w:rPr>
          <w:rFonts w:ascii="Times New Roman" w:eastAsia="Times" w:hAnsi="Times New Roman" w:cs="Times"/>
          <w:color w:val="000000" w:themeColor="text1"/>
          <w:sz w:val="24"/>
        </w:rPr>
        <w:t>i</w:t>
      </w:r>
      <w:proofErr w:type="spellEnd"/>
      <w:r w:rsidRPr="00C068D7">
        <w:rPr>
          <w:rFonts w:ascii="Times New Roman" w:eastAsia="Times" w:hAnsi="Times New Roman" w:cs="Times"/>
          <w:color w:val="000000" w:themeColor="text1"/>
          <w:sz w:val="24"/>
        </w:rPr>
        <w:t xml:space="preserve">]t would be a dangerous undertaking for persons trained only to the law to constitute themselves final judges of the worth of [visual art]," </w:t>
      </w:r>
      <w:bookmarkStart w:id="56" w:name="Bookmark_I5Y90KS92N1RVX0040000400"/>
      <w:bookmarkEnd w:id="56"/>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"https://plus.lexis.com/api/document?collection=cases&amp;id=urn:contentItem:3S4X-CB30-003B-H4MG-00000-00&amp;context=1530671" </w:instrText>
      </w:r>
      <w:r w:rsidRPr="00C068D7">
        <w:rPr>
          <w:rFonts w:ascii="Times New Roman" w:hAnsi="Times New Roman"/>
          <w:color w:val="000000" w:themeColor="text1"/>
          <w:sz w:val="24"/>
        </w:rPr>
        <w:fldChar w:fldCharType="separate"/>
      </w:r>
      <w:proofErr w:type="spellStart"/>
      <w:r w:rsidRPr="00C068D7">
        <w:rPr>
          <w:rFonts w:ascii="Times New Roman" w:eastAsia="Times" w:hAnsi="Times New Roman" w:cs="Times"/>
          <w:i/>
          <w:color w:val="000000" w:themeColor="text1"/>
          <w:sz w:val="24"/>
          <w:u w:val="single"/>
          <w:shd w:val="clear" w:color="auto" w:fill="FFFFFF"/>
        </w:rPr>
        <w:t>Bleistein</w:t>
      </w:r>
      <w:proofErr w:type="spellEnd"/>
      <w:r w:rsidRPr="00C068D7">
        <w:rPr>
          <w:rFonts w:ascii="Times New Roman" w:eastAsia="Times" w:hAnsi="Times New Roman" w:cs="Times"/>
          <w:i/>
          <w:color w:val="000000" w:themeColor="text1"/>
          <w:sz w:val="24"/>
          <w:u w:val="single"/>
          <w:shd w:val="clear" w:color="auto" w:fill="FFFFFF"/>
        </w:rPr>
        <w:t xml:space="preserve"> v. Donaldson Lithographing Co.</w:t>
      </w:r>
      <w:r w:rsidRPr="00C068D7">
        <w:rPr>
          <w:rFonts w:ascii="Times New Roman" w:eastAsia="Times" w:hAnsi="Times New Roman" w:cs="Times"/>
          <w:i/>
          <w:color w:val="000000" w:themeColor="text1"/>
          <w:sz w:val="24"/>
          <w:u w:val="single"/>
          <w:shd w:val="clear" w:color="auto" w:fill="FFFFFF"/>
        </w:rPr>
        <w:fldChar w:fldCharType="end"/>
      </w:r>
      <w:hyperlink r:id="rId37" w:history="1">
        <w:r w:rsidRPr="00C068D7">
          <w:rPr>
            <w:rFonts w:ascii="Times New Roman" w:eastAsia="Times" w:hAnsi="Times New Roman" w:cs="Times"/>
            <w:color w:val="000000" w:themeColor="text1"/>
            <w:sz w:val="24"/>
            <w:u w:val="single"/>
            <w:shd w:val="clear" w:color="auto" w:fill="FFFFFF"/>
          </w:rPr>
          <w:t>, 188 U.S. 239, 251, 23 S. Ct. 298, 47 L. Ed. 460, 1903 Dec. Comm'r Pat. 650 (1903)</w:t>
        </w:r>
      </w:hyperlink>
      <w:r w:rsidRPr="00C068D7">
        <w:rPr>
          <w:rFonts w:ascii="Times New Roman" w:eastAsia="Times" w:hAnsi="Times New Roman" w:cs="Times"/>
          <w:color w:val="000000" w:themeColor="text1"/>
          <w:sz w:val="24"/>
        </w:rPr>
        <w:t xml:space="preserve">; </w:t>
      </w:r>
      <w:r w:rsidRPr="00C068D7">
        <w:rPr>
          <w:rFonts w:ascii="Times New Roman" w:eastAsia="Times" w:hAnsi="Times New Roman" w:cs="Times"/>
          <w:i/>
          <w:color w:val="000000" w:themeColor="text1"/>
          <w:sz w:val="24"/>
        </w:rPr>
        <w:t xml:space="preserve">accord </w:t>
      </w:r>
      <w:bookmarkStart w:id="57" w:name="Bookmark_I5Y90KS92HM6870010000400"/>
      <w:bookmarkEnd w:id="57"/>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"https://plus.lexis.com/api/document?collection=cases&amp;id=urn:contentItem:49M1-4F70-0038-X2SN-00000-00&amp;context=1530671" </w:instrText>
      </w:r>
      <w:r w:rsidRPr="00C068D7">
        <w:rPr>
          <w:rFonts w:ascii="Times New Roman" w:hAnsi="Times New Roman"/>
          <w:color w:val="000000" w:themeColor="text1"/>
          <w:sz w:val="24"/>
        </w:rPr>
        <w:fldChar w:fldCharType="separate"/>
      </w:r>
      <w:proofErr w:type="spellStart"/>
      <w:r w:rsidRPr="00C068D7">
        <w:rPr>
          <w:rFonts w:ascii="Times New Roman" w:eastAsia="Times" w:hAnsi="Times New Roman" w:cs="Times"/>
          <w:i/>
          <w:color w:val="000000" w:themeColor="text1"/>
          <w:sz w:val="24"/>
          <w:u w:val="single"/>
          <w:shd w:val="clear" w:color="auto" w:fill="FFFFFF"/>
        </w:rPr>
        <w:t>Pollara</w:t>
      </w:r>
      <w:proofErr w:type="spellEnd"/>
      <w:r w:rsidRPr="00C068D7">
        <w:rPr>
          <w:rFonts w:ascii="Times New Roman" w:eastAsia="Times" w:hAnsi="Times New Roman" w:cs="Times"/>
          <w:i/>
          <w:color w:val="000000" w:themeColor="text1"/>
          <w:sz w:val="24"/>
          <w:u w:val="single"/>
          <w:shd w:val="clear" w:color="auto" w:fill="FFFFFF"/>
        </w:rPr>
        <w:t xml:space="preserve"> v. Seymour</w:t>
      </w:r>
      <w:r w:rsidRPr="00C068D7">
        <w:rPr>
          <w:rFonts w:ascii="Times New Roman" w:eastAsia="Times" w:hAnsi="Times New Roman" w:cs="Times"/>
          <w:i/>
          <w:color w:val="000000" w:themeColor="text1"/>
          <w:sz w:val="24"/>
          <w:u w:val="single"/>
          <w:shd w:val="clear" w:color="auto" w:fill="FFFFFF"/>
        </w:rPr>
        <w:fldChar w:fldCharType="end"/>
      </w:r>
      <w:hyperlink r:id="rId38" w:history="1">
        <w:r w:rsidRPr="00C068D7">
          <w:rPr>
            <w:rFonts w:ascii="Times New Roman" w:eastAsia="Times" w:hAnsi="Times New Roman" w:cs="Times"/>
            <w:color w:val="000000" w:themeColor="text1"/>
            <w:sz w:val="24"/>
            <w:u w:val="single"/>
            <w:shd w:val="clear" w:color="auto" w:fill="FFFFFF"/>
          </w:rPr>
          <w:t>, 344 F.3d 265, 271 (2d Cir. 2003)</w:t>
        </w:r>
      </w:hyperlink>
      <w:r w:rsidRPr="00C068D7">
        <w:rPr>
          <w:rFonts w:ascii="Times New Roman" w:eastAsia="Times" w:hAnsi="Times New Roman" w:cs="Times"/>
          <w:color w:val="000000" w:themeColor="text1"/>
          <w:sz w:val="24"/>
        </w:rPr>
        <w:t xml:space="preserve"> ("We steer clear of an interpretation of VARA that would require courts to assess . . . the worth of a purported work of visual art . . . ."). For that reason, aside from the rare case where an artist or work is of such prominence that the issue of recognized stature need not </w:t>
      </w:r>
      <w:r w:rsidRPr="00C068D7">
        <w:rPr>
          <w:rFonts w:ascii="Times New Roman" w:eastAsia="Times" w:hAnsi="Times New Roman" w:cs="Times"/>
          <w:color w:val="000000" w:themeColor="text1"/>
          <w:sz w:val="24"/>
        </w:rPr>
        <w:lastRenderedPageBreak/>
        <w:t>be tried, expert testimony or substantial evidence of non-expert recognition will generally be required to establish recognized stature.</w:t>
      </w:r>
    </w:p>
    <w:p w14:paraId="27BD3AB9" w14:textId="77777777" w:rsidR="00382C50" w:rsidRPr="00C068D7" w:rsidRDefault="00382C50" w:rsidP="00820FEE">
      <w:pPr>
        <w:pStyle w:val="ListParagraph"/>
        <w:widowControl/>
        <w:numPr>
          <w:ilvl w:val="0"/>
          <w:numId w:val="1"/>
        </w:numPr>
        <w:autoSpaceDE/>
        <w:autoSpaceDN/>
        <w:adjustRightInd/>
        <w:snapToGrid w:val="0"/>
        <w:spacing w:after="240"/>
        <w:ind w:left="3600" w:hanging="3600"/>
        <w:contextualSpacing w:val="0"/>
        <w:jc w:val="both"/>
        <w:rPr>
          <w:rFonts w:ascii="Times New Roman" w:hAnsi="Times New Roman"/>
          <w:color w:val="000000" w:themeColor="text1"/>
          <w:sz w:val="24"/>
        </w:rPr>
      </w:pPr>
      <w:r w:rsidRPr="00C068D7">
        <w:rPr>
          <w:rFonts w:ascii="Times New Roman" w:eastAsia="Times" w:hAnsi="Times New Roman" w:cs="Times"/>
          <w:color w:val="000000" w:themeColor="text1"/>
          <w:sz w:val="24"/>
        </w:rPr>
        <w:t>III.</w:t>
      </w:r>
    </w:p>
    <w:p w14:paraId="21828FC5" w14:textId="259EAF35"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58" w:name="Bookmark_para_28"/>
      <w:bookmarkEnd w:id="58"/>
      <w:r w:rsidRPr="00C068D7">
        <w:rPr>
          <w:rFonts w:ascii="Times New Roman" w:eastAsia="Times" w:hAnsi="Times New Roman" w:cs="Times"/>
          <w:color w:val="000000" w:themeColor="text1"/>
          <w:sz w:val="24"/>
        </w:rPr>
        <w:t>Accordingly, to establish a violation of VARA in this case, the artists were required to demonstrate that their work had achieved recognized stature. Judge Block found that they did so. He concluded that "the plaintiffs adduced such a plethora of exhibits</w:t>
      </w:r>
      <w:r w:rsidRPr="00C068D7">
        <w:rPr>
          <w:rFonts w:ascii="Times New Roman" w:eastAsia="Times" w:hAnsi="Times New Roman" w:cs="Times"/>
          <w:b/>
          <w:color w:val="000000" w:themeColor="text1"/>
          <w:sz w:val="24"/>
        </w:rPr>
        <w:t> </w:t>
      </w:r>
      <w:r w:rsidRPr="00C068D7">
        <w:rPr>
          <w:rFonts w:ascii="Times New Roman" w:eastAsia="Times" w:hAnsi="Times New Roman" w:cs="Times"/>
          <w:color w:val="000000" w:themeColor="text1"/>
          <w:sz w:val="24"/>
        </w:rPr>
        <w:t xml:space="preserve">and credible testimony, including the testimony of a highly regarded expert, that even under the most restrictive of evidentiary standards almost all of the plaintiffs' works easily qualify as works of recognized stature." S. </w:t>
      </w:r>
      <w:proofErr w:type="spellStart"/>
      <w:r w:rsidRPr="00C068D7">
        <w:rPr>
          <w:rFonts w:ascii="Times New Roman" w:eastAsia="Times" w:hAnsi="Times New Roman" w:cs="Times"/>
          <w:color w:val="000000" w:themeColor="text1"/>
          <w:sz w:val="24"/>
        </w:rPr>
        <w:t>App'x</w:t>
      </w:r>
      <w:proofErr w:type="spellEnd"/>
      <w:r w:rsidRPr="00C068D7">
        <w:rPr>
          <w:rFonts w:ascii="Times New Roman" w:eastAsia="Times" w:hAnsi="Times New Roman" w:cs="Times"/>
          <w:color w:val="000000" w:themeColor="text1"/>
          <w:sz w:val="24"/>
        </w:rPr>
        <w:t xml:space="preserve"> at 30. </w:t>
      </w:r>
      <w:bookmarkStart w:id="59" w:name="Bookmark_I5Y90KS92HM6870040000400"/>
      <w:bookmarkEnd w:id="59"/>
      <w:r w:rsidRPr="00C068D7">
        <w:rPr>
          <w:rFonts w:ascii="Times New Roman" w:eastAsia="Times" w:hAnsi="Times New Roman" w:cs="Times"/>
          <w:color w:val="000000" w:themeColor="text1"/>
          <w:sz w:val="24"/>
        </w:rPr>
        <w:t xml:space="preserve">These </w:t>
      </w:r>
      <w:bookmarkStart w:id="60" w:name="Bookmark_LNHNREFclscc12"/>
      <w:bookmarkEnd w:id="60"/>
      <w:r w:rsidRPr="00C068D7">
        <w:rPr>
          <w:rFonts w:ascii="Times New Roman" w:eastAsia="Times" w:hAnsi="Times New Roman" w:cs="Times"/>
          <w:color w:val="000000" w:themeColor="text1"/>
          <w:sz w:val="24"/>
        </w:rPr>
        <w:t xml:space="preserve">findings of fact are reviewable only for clear error. </w:t>
      </w:r>
      <w:r w:rsidRPr="00C068D7">
        <w:rPr>
          <w:rFonts w:ascii="Times New Roman" w:eastAsia="Times" w:hAnsi="Times New Roman" w:cs="Times"/>
          <w:i/>
          <w:color w:val="000000" w:themeColor="text1"/>
          <w:sz w:val="24"/>
        </w:rPr>
        <w:t>See</w:t>
      </w:r>
      <w:r w:rsidRPr="00C068D7">
        <w:rPr>
          <w:rFonts w:ascii="Times New Roman" w:eastAsia="Times" w:hAnsi="Times New Roman" w:cs="Times"/>
          <w:color w:val="000000" w:themeColor="text1"/>
          <w:sz w:val="24"/>
        </w:rPr>
        <w:t xml:space="preserve"> Drew Thornley, </w:t>
      </w:r>
      <w:r w:rsidRPr="00C068D7">
        <w:rPr>
          <w:rFonts w:ascii="Times New Roman" w:eastAsia="Times" w:hAnsi="Times New Roman" w:cs="Times"/>
          <w:i/>
          <w:color w:val="000000" w:themeColor="text1"/>
          <w:sz w:val="24"/>
        </w:rPr>
        <w:t>The Visual Artists Rights Act's "Recognized Stature" Provision</w:t>
      </w:r>
      <w:r w:rsidRPr="00C068D7">
        <w:rPr>
          <w:rFonts w:ascii="Times New Roman" w:eastAsia="Times" w:hAnsi="Times New Roman" w:cs="Times"/>
          <w:color w:val="000000" w:themeColor="text1"/>
          <w:sz w:val="24"/>
        </w:rPr>
        <w:t xml:space="preserve">, </w:t>
      </w:r>
      <w:hyperlink r:id="rId39" w:history="1">
        <w:r w:rsidRPr="00C068D7">
          <w:rPr>
            <w:rFonts w:ascii="Times New Roman" w:eastAsia="Times" w:hAnsi="Times New Roman" w:cs="Times"/>
            <w:color w:val="000000" w:themeColor="text1"/>
            <w:sz w:val="24"/>
            <w:u w:val="single"/>
            <w:shd w:val="clear" w:color="auto" w:fill="FFFFFF"/>
          </w:rPr>
          <w:t xml:space="preserve">67 </w:t>
        </w:r>
        <w:proofErr w:type="spellStart"/>
        <w:r w:rsidRPr="00C068D7">
          <w:rPr>
            <w:rFonts w:ascii="Times New Roman" w:eastAsia="Times" w:hAnsi="Times New Roman" w:cs="Times"/>
            <w:color w:val="000000" w:themeColor="text1"/>
            <w:sz w:val="24"/>
            <w:u w:val="single"/>
            <w:shd w:val="clear" w:color="auto" w:fill="FFFFFF"/>
          </w:rPr>
          <w:t>Clev</w:t>
        </w:r>
        <w:proofErr w:type="spellEnd"/>
        <w:r w:rsidRPr="00C068D7">
          <w:rPr>
            <w:rFonts w:ascii="Times New Roman" w:eastAsia="Times" w:hAnsi="Times New Roman" w:cs="Times"/>
            <w:color w:val="000000" w:themeColor="text1"/>
            <w:sz w:val="24"/>
            <w:u w:val="single"/>
            <w:shd w:val="clear" w:color="auto" w:fill="FFFFFF"/>
          </w:rPr>
          <w:t>. St. L. Rev. 351, 365 n.81 (2019)</w:t>
        </w:r>
      </w:hyperlink>
      <w:r w:rsidRPr="00C068D7">
        <w:rPr>
          <w:rFonts w:ascii="Times New Roman" w:eastAsia="Times" w:hAnsi="Times New Roman" w:cs="Times"/>
          <w:color w:val="000000" w:themeColor="text1"/>
          <w:sz w:val="24"/>
        </w:rPr>
        <w:t xml:space="preserve"> ("[R]</w:t>
      </w:r>
      <w:proofErr w:type="spellStart"/>
      <w:r w:rsidRPr="00C068D7">
        <w:rPr>
          <w:rFonts w:ascii="Times New Roman" w:eastAsia="Times" w:hAnsi="Times New Roman" w:cs="Times"/>
          <w:color w:val="000000" w:themeColor="text1"/>
          <w:sz w:val="24"/>
        </w:rPr>
        <w:t>ecognized</w:t>
      </w:r>
      <w:proofErr w:type="spellEnd"/>
      <w:r w:rsidRPr="00C068D7">
        <w:rPr>
          <w:rFonts w:ascii="Times New Roman" w:eastAsia="Times" w:hAnsi="Times New Roman" w:cs="Times"/>
          <w:color w:val="000000" w:themeColor="text1"/>
          <w:sz w:val="24"/>
        </w:rPr>
        <w:t xml:space="preserve"> stature is a question of fact."). "A finding is 'clearly erroneous' when although there is evidence to support it, the reviewing court on the entire evidence is left with the definite and firm conviction that a mistake has been committed." </w:t>
      </w:r>
      <w:bookmarkStart w:id="61" w:name="Bookmark_I5Y90KS92HM6870030000400"/>
      <w:bookmarkEnd w:id="61"/>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"https://plus.lexis.com/api/document?collection=cases&amp;id=urn:contentItem:5J2H-68Y1-F04K-J0K5-00000-00&amp;context=1530671" </w:instrText>
      </w:r>
      <w:r w:rsidRPr="00C068D7">
        <w:rPr>
          <w:rFonts w:ascii="Times New Roman" w:hAnsi="Times New Roman"/>
          <w:color w:val="000000" w:themeColor="text1"/>
          <w:sz w:val="24"/>
        </w:rPr>
        <w:fldChar w:fldCharType="separate"/>
      </w:r>
      <w:r w:rsidRPr="00C068D7">
        <w:rPr>
          <w:rFonts w:ascii="Times New Roman" w:eastAsia="Times" w:hAnsi="Times New Roman" w:cs="Times"/>
          <w:i/>
          <w:color w:val="000000" w:themeColor="text1"/>
          <w:sz w:val="24"/>
          <w:u w:val="single"/>
          <w:shd w:val="clear" w:color="auto" w:fill="FFFFFF"/>
        </w:rPr>
        <w:t>Wu Lin v. Lynch</w:t>
      </w:r>
      <w:r w:rsidRPr="00C068D7">
        <w:rPr>
          <w:rFonts w:ascii="Times New Roman" w:eastAsia="Times" w:hAnsi="Times New Roman" w:cs="Times"/>
          <w:i/>
          <w:color w:val="000000" w:themeColor="text1"/>
          <w:sz w:val="24"/>
          <w:u w:val="single"/>
          <w:shd w:val="clear" w:color="auto" w:fill="FFFFFF"/>
        </w:rPr>
        <w:fldChar w:fldCharType="end"/>
      </w:r>
      <w:hyperlink r:id="rId40" w:history="1">
        <w:r w:rsidRPr="00C068D7">
          <w:rPr>
            <w:rFonts w:ascii="Times New Roman" w:eastAsia="Times" w:hAnsi="Times New Roman" w:cs="Times"/>
            <w:color w:val="000000" w:themeColor="text1"/>
            <w:sz w:val="24"/>
            <w:u w:val="single"/>
            <w:shd w:val="clear" w:color="auto" w:fill="FFFFFF"/>
          </w:rPr>
          <w:t>, 813 F.3d 122, 132 (2d Cir. 2016)</w:t>
        </w:r>
      </w:hyperlink>
      <w:r w:rsidRPr="00C068D7">
        <w:rPr>
          <w:rFonts w:ascii="Times New Roman" w:eastAsia="Times" w:hAnsi="Times New Roman" w:cs="Times"/>
          <w:color w:val="000000" w:themeColor="text1"/>
          <w:sz w:val="24"/>
        </w:rPr>
        <w:t xml:space="preserve"> (quoting </w:t>
      </w:r>
      <w:bookmarkStart w:id="62" w:name="Bookmark_I5Y90KS92HM6870050000400"/>
      <w:bookmarkEnd w:id="62"/>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"https://plus.lexis.com/api/document?collection=cases&amp;id=urn:contentItem:3S4X-JT20-003B-S4D4-00000-00&amp;context=1530671" </w:instrText>
      </w:r>
      <w:r w:rsidRPr="00C068D7">
        <w:rPr>
          <w:rFonts w:ascii="Times New Roman" w:hAnsi="Times New Roman"/>
          <w:color w:val="000000" w:themeColor="text1"/>
          <w:sz w:val="24"/>
        </w:rPr>
        <w:fldChar w:fldCharType="separate"/>
      </w:r>
      <w:r w:rsidRPr="00C068D7">
        <w:rPr>
          <w:rFonts w:ascii="Times New Roman" w:eastAsia="Times" w:hAnsi="Times New Roman" w:cs="Times"/>
          <w:i/>
          <w:color w:val="000000" w:themeColor="text1"/>
          <w:sz w:val="24"/>
          <w:u w:val="single"/>
          <w:shd w:val="clear" w:color="auto" w:fill="FFFFFF"/>
        </w:rPr>
        <w:t>United States v. U.S. Gypsum Co.</w:t>
      </w:r>
      <w:r w:rsidRPr="00C068D7">
        <w:rPr>
          <w:rFonts w:ascii="Times New Roman" w:eastAsia="Times" w:hAnsi="Times New Roman" w:cs="Times"/>
          <w:i/>
          <w:color w:val="000000" w:themeColor="text1"/>
          <w:sz w:val="24"/>
          <w:u w:val="single"/>
          <w:shd w:val="clear" w:color="auto" w:fill="FFFFFF"/>
        </w:rPr>
        <w:fldChar w:fldCharType="end"/>
      </w:r>
      <w:hyperlink r:id="rId41" w:history="1">
        <w:r w:rsidRPr="00C068D7">
          <w:rPr>
            <w:rFonts w:ascii="Times New Roman" w:eastAsia="Times" w:hAnsi="Times New Roman" w:cs="Times"/>
            <w:color w:val="000000" w:themeColor="text1"/>
            <w:sz w:val="24"/>
            <w:u w:val="single"/>
            <w:shd w:val="clear" w:color="auto" w:fill="FFFFFF"/>
          </w:rPr>
          <w:t>, 333 U.S. 364, 395, 68 S. Ct. 525, 92 L. Ed. 746 (1948))</w:t>
        </w:r>
      </w:hyperlink>
      <w:r w:rsidRPr="00C068D7">
        <w:rPr>
          <w:rFonts w:ascii="Times New Roman" w:eastAsia="Times" w:hAnsi="Times New Roman" w:cs="Times"/>
          <w:color w:val="000000" w:themeColor="text1"/>
          <w:sz w:val="24"/>
        </w:rPr>
        <w:t>. Appellants do not hurdle this high bar.</w:t>
      </w:r>
    </w:p>
    <w:p w14:paraId="28D233C3" w14:textId="795077B7"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63" w:name="Bookmark_para_29"/>
      <w:bookmarkEnd w:id="63"/>
      <w:r w:rsidRPr="00C068D7">
        <w:rPr>
          <w:rFonts w:ascii="Times New Roman" w:eastAsia="Times" w:hAnsi="Times New Roman" w:cs="Times"/>
          <w:color w:val="000000" w:themeColor="text1"/>
          <w:sz w:val="24"/>
        </w:rPr>
        <w:t xml:space="preserve">In attempting to do so,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takes issue with </w:t>
      </w:r>
      <w:proofErr w:type="gramStart"/>
      <w:r w:rsidRPr="00C068D7">
        <w:rPr>
          <w:rFonts w:ascii="Times New Roman" w:eastAsia="Times" w:hAnsi="Times New Roman" w:cs="Times"/>
          <w:color w:val="000000" w:themeColor="text1"/>
          <w:sz w:val="24"/>
        </w:rPr>
        <w:t>a number of</w:t>
      </w:r>
      <w:proofErr w:type="gramEnd"/>
      <w:r w:rsidRPr="00C068D7">
        <w:rPr>
          <w:rFonts w:ascii="Times New Roman" w:eastAsia="Times" w:hAnsi="Times New Roman" w:cs="Times"/>
          <w:color w:val="000000" w:themeColor="text1"/>
          <w:sz w:val="24"/>
        </w:rPr>
        <w:t xml:space="preserve"> the decisions Judge Block made in the process of reaching his conclusions. The proceedings below were contested by able counsel and involved voluminous exhibits and extensive lay and expert testimony. On this appeal,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would have us revisit and reconsider a number of those decisions that were debatable. But on this appeal,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must demonstrate that Judge Block abused his discretion or that findings of fact he made were clearly erroneous, not simply debatable.</w:t>
      </w:r>
      <w:r w:rsidRPr="00C068D7">
        <w:rPr>
          <w:rFonts w:ascii="Times New Roman" w:eastAsia="Times" w:hAnsi="Times New Roman" w:cs="Times"/>
          <w:b/>
          <w:color w:val="000000" w:themeColor="text1"/>
          <w:sz w:val="24"/>
        </w:rPr>
        <w:t> </w:t>
      </w:r>
    </w:p>
    <w:p w14:paraId="23188659" w14:textId="77777777"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64" w:name="Bookmark_para_30"/>
      <w:bookmarkEnd w:id="64"/>
      <w:r w:rsidRPr="00C068D7">
        <w:rPr>
          <w:rFonts w:ascii="Times New Roman" w:eastAsia="Times" w:hAnsi="Times New Roman" w:cs="Times"/>
          <w:color w:val="000000" w:themeColor="text1"/>
          <w:sz w:val="24"/>
        </w:rPr>
        <w:t xml:space="preserve">Initially,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contends that the great majority of the works in question were temporary ones which, for that reason, could not meet the recognized stature requirement. We disagree. We see </w:t>
      </w:r>
      <w:bookmarkStart w:id="65" w:name="Bookmark_LNHNREFclscc13"/>
      <w:bookmarkEnd w:id="65"/>
      <w:r w:rsidRPr="00C068D7">
        <w:rPr>
          <w:rFonts w:ascii="Times New Roman" w:eastAsia="Times" w:hAnsi="Times New Roman" w:cs="Times"/>
          <w:color w:val="000000" w:themeColor="text1"/>
          <w:sz w:val="24"/>
        </w:rPr>
        <w:t xml:space="preserve">nothing in VARA that excludes temporary artwork from attaining recognized stature. Unhelpful to this contention is the fact that </w:t>
      </w:r>
      <w:proofErr w:type="spellStart"/>
      <w:r w:rsidRPr="00C068D7">
        <w:rPr>
          <w:rFonts w:ascii="Times New Roman" w:eastAsia="Times" w:hAnsi="Times New Roman" w:cs="Times"/>
          <w:color w:val="000000" w:themeColor="text1"/>
          <w:sz w:val="24"/>
        </w:rPr>
        <w:t>Wolkoff's</w:t>
      </w:r>
      <w:proofErr w:type="spellEnd"/>
      <w:r w:rsidRPr="00C068D7">
        <w:rPr>
          <w:rFonts w:ascii="Times New Roman" w:eastAsia="Times" w:hAnsi="Times New Roman" w:cs="Times"/>
          <w:color w:val="000000" w:themeColor="text1"/>
          <w:sz w:val="24"/>
        </w:rPr>
        <w:t xml:space="preserve"> own expert acknowledged that temporary artwork </w:t>
      </w:r>
      <w:proofErr w:type="gramStart"/>
      <w:r w:rsidRPr="00C068D7">
        <w:rPr>
          <w:rFonts w:ascii="Times New Roman" w:eastAsia="Times" w:hAnsi="Times New Roman" w:cs="Times"/>
          <w:color w:val="000000" w:themeColor="text1"/>
          <w:sz w:val="24"/>
        </w:rPr>
        <w:t>can</w:t>
      </w:r>
      <w:proofErr w:type="gramEnd"/>
      <w:r w:rsidRPr="00C068D7">
        <w:rPr>
          <w:rFonts w:ascii="Times New Roman" w:eastAsia="Times" w:hAnsi="Times New Roman" w:cs="Times"/>
          <w:color w:val="000000" w:themeColor="text1"/>
          <w:sz w:val="24"/>
        </w:rPr>
        <w:t xml:space="preserve"> achieve recognized stature.</w:t>
      </w:r>
    </w:p>
    <w:p w14:paraId="7EE6DB3F" w14:textId="77777777"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66" w:name="Bookmark_para_31"/>
      <w:bookmarkStart w:id="67" w:name="Bookmark_I5Y90KSB2D6N990030000400"/>
      <w:bookmarkStart w:id="68" w:name="Bookmark_LNHNREFclscc14"/>
      <w:bookmarkEnd w:id="66"/>
      <w:bookmarkEnd w:id="67"/>
      <w:bookmarkEnd w:id="68"/>
      <w:r w:rsidRPr="00C068D7">
        <w:rPr>
          <w:rFonts w:ascii="Times New Roman" w:eastAsia="Times" w:hAnsi="Times New Roman" w:cs="Times"/>
          <w:color w:val="000000" w:themeColor="text1"/>
          <w:sz w:val="24"/>
        </w:rPr>
        <w:t xml:space="preserve">The statute does not adopt categories of "permanent" and "temporary" artwork, much less include a definition of these terms. VARA is distinctive in that "[a] work of visual art is defined by the Act in terms both positive (what it is) and negative (what it is not)." </w:t>
      </w:r>
      <w:bookmarkStart w:id="69" w:name="Bookmark_I5Y90KSB2D6N990020000400"/>
      <w:bookmarkEnd w:id="69"/>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"https://plus.lexis.com/api/document?collection=cases&amp;id=urn:contentItem:3RHM-JB30-001T-D06V-00000-00&amp;context=1530671" </w:instrText>
      </w:r>
      <w:r w:rsidRPr="00C068D7">
        <w:rPr>
          <w:rFonts w:ascii="Times New Roman" w:hAnsi="Times New Roman"/>
          <w:color w:val="000000" w:themeColor="text1"/>
          <w:sz w:val="24"/>
        </w:rPr>
        <w:fldChar w:fldCharType="separate"/>
      </w:r>
      <w:r w:rsidRPr="00C068D7">
        <w:rPr>
          <w:rFonts w:ascii="Times New Roman" w:eastAsia="Times" w:hAnsi="Times New Roman" w:cs="Times"/>
          <w:i/>
          <w:color w:val="000000" w:themeColor="text1"/>
          <w:sz w:val="24"/>
          <w:u w:val="single"/>
          <w:shd w:val="clear" w:color="auto" w:fill="FFFFFF"/>
        </w:rPr>
        <w:t>Carter</w:t>
      </w:r>
      <w:r w:rsidRPr="00C068D7">
        <w:rPr>
          <w:rFonts w:ascii="Times New Roman" w:eastAsia="Times" w:hAnsi="Times New Roman" w:cs="Times"/>
          <w:i/>
          <w:color w:val="000000" w:themeColor="text1"/>
          <w:sz w:val="24"/>
          <w:u w:val="single"/>
          <w:shd w:val="clear" w:color="auto" w:fill="FFFFFF"/>
        </w:rPr>
        <w:fldChar w:fldCharType="end"/>
      </w:r>
      <w:hyperlink r:id="rId42" w:history="1">
        <w:r w:rsidRPr="00C068D7">
          <w:rPr>
            <w:rFonts w:ascii="Times New Roman" w:eastAsia="Times" w:hAnsi="Times New Roman" w:cs="Times"/>
            <w:color w:val="000000" w:themeColor="text1"/>
            <w:sz w:val="24"/>
            <w:u w:val="single"/>
            <w:shd w:val="clear" w:color="auto" w:fill="FFFFFF"/>
          </w:rPr>
          <w:t>, 71 F.3d at 84</w:t>
        </w:r>
      </w:hyperlink>
      <w:r w:rsidRPr="00C068D7">
        <w:rPr>
          <w:rFonts w:ascii="Times New Roman" w:eastAsia="Times" w:hAnsi="Times New Roman" w:cs="Times"/>
          <w:color w:val="000000" w:themeColor="text1"/>
          <w:sz w:val="24"/>
        </w:rPr>
        <w:t xml:space="preserve">. In narrowing the scope of the statute, Congress adopted a highly specific definition of visual art. </w:t>
      </w:r>
      <w:r w:rsidRPr="00C068D7">
        <w:rPr>
          <w:rFonts w:ascii="Times New Roman" w:eastAsia="Times" w:hAnsi="Times New Roman" w:cs="Times"/>
          <w:i/>
          <w:color w:val="000000" w:themeColor="text1"/>
          <w:sz w:val="24"/>
        </w:rPr>
        <w:t>See</w:t>
      </w:r>
      <w:r w:rsidRPr="00C068D7">
        <w:rPr>
          <w:rFonts w:ascii="Times New Roman" w:eastAsia="Times" w:hAnsi="Times New Roman" w:cs="Times"/>
          <w:color w:val="000000" w:themeColor="text1"/>
          <w:sz w:val="24"/>
        </w:rPr>
        <w:t xml:space="preserve"> </w:t>
      </w:r>
      <w:hyperlink r:id="rId43" w:history="1">
        <w:r w:rsidRPr="00C068D7">
          <w:rPr>
            <w:rFonts w:ascii="Times New Roman" w:eastAsia="Times" w:hAnsi="Times New Roman" w:cs="Times"/>
            <w:color w:val="000000" w:themeColor="text1"/>
            <w:sz w:val="24"/>
            <w:u w:val="single"/>
            <w:shd w:val="clear" w:color="auto" w:fill="FFFFFF"/>
          </w:rPr>
          <w:t>17 U.S.C. § 101</w:t>
        </w:r>
      </w:hyperlink>
      <w:r w:rsidRPr="00C068D7">
        <w:rPr>
          <w:rFonts w:ascii="Times New Roman" w:eastAsia="Times" w:hAnsi="Times New Roman" w:cs="Times"/>
          <w:color w:val="000000" w:themeColor="text1"/>
          <w:sz w:val="24"/>
        </w:rPr>
        <w:t xml:space="preserve">. </w:t>
      </w:r>
      <w:proofErr w:type="gramStart"/>
      <w:r w:rsidRPr="00C068D7">
        <w:rPr>
          <w:rFonts w:ascii="Times New Roman" w:eastAsia="Times" w:hAnsi="Times New Roman" w:cs="Times"/>
          <w:color w:val="000000" w:themeColor="text1"/>
          <w:sz w:val="24"/>
        </w:rPr>
        <w:t>In light of</w:t>
      </w:r>
      <w:proofErr w:type="gramEnd"/>
      <w:r w:rsidRPr="00C068D7">
        <w:rPr>
          <w:rFonts w:ascii="Times New Roman" w:eastAsia="Times" w:hAnsi="Times New Roman" w:cs="Times"/>
          <w:color w:val="000000" w:themeColor="text1"/>
          <w:sz w:val="24"/>
        </w:rPr>
        <w:t xml:space="preserve"> this specificity, we see no justification for adopting an additional requirement not included by </w:t>
      </w:r>
      <w:r w:rsidRPr="00C068D7">
        <w:rPr>
          <w:rFonts w:ascii="Times New Roman" w:eastAsia="Times" w:hAnsi="Times New Roman" w:cs="Times"/>
          <w:color w:val="000000" w:themeColor="text1"/>
          <w:sz w:val="24"/>
        </w:rPr>
        <w:lastRenderedPageBreak/>
        <w:t>Congress, even if that requirement is styled as a component of recognized stature. To do so would be to upset the balance achieved by the legislature.</w:t>
      </w:r>
    </w:p>
    <w:p w14:paraId="7975F4B2" w14:textId="26DA9F25"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70" w:name="Bookmark_para_32"/>
      <w:bookmarkEnd w:id="70"/>
      <w:r w:rsidRPr="00C068D7">
        <w:rPr>
          <w:rFonts w:ascii="Times New Roman" w:eastAsia="Times" w:hAnsi="Times New Roman" w:cs="Times"/>
          <w:color w:val="000000" w:themeColor="text1"/>
          <w:sz w:val="24"/>
        </w:rPr>
        <w:t>Additionally, at least as recently as 2005, New York City saw a clear instance where temporary artwork achieved recognized stature. That winter, artists Christo</w:t>
      </w:r>
      <w:r w:rsidRPr="00C068D7">
        <w:rPr>
          <w:rFonts w:ascii="Times New Roman" w:eastAsia="Times" w:hAnsi="Times New Roman" w:cs="Times"/>
          <w:b/>
          <w:color w:val="000000" w:themeColor="text1"/>
          <w:sz w:val="24"/>
        </w:rPr>
        <w:t> </w:t>
      </w:r>
      <w:proofErr w:type="spellStart"/>
      <w:r w:rsidRPr="00C068D7">
        <w:rPr>
          <w:rFonts w:ascii="Times New Roman" w:eastAsia="Times" w:hAnsi="Times New Roman" w:cs="Times"/>
          <w:color w:val="000000" w:themeColor="text1"/>
          <w:sz w:val="24"/>
        </w:rPr>
        <w:t>Vladimirov</w:t>
      </w:r>
      <w:proofErr w:type="spellEnd"/>
      <w:r w:rsidRPr="00C068D7">
        <w:rPr>
          <w:rFonts w:ascii="Times New Roman" w:eastAsia="Times" w:hAnsi="Times New Roman" w:cs="Times"/>
          <w:color w:val="000000" w:themeColor="text1"/>
          <w:sz w:val="24"/>
        </w:rPr>
        <w:t xml:space="preserve"> </w:t>
      </w:r>
      <w:proofErr w:type="spellStart"/>
      <w:r w:rsidRPr="00C068D7">
        <w:rPr>
          <w:rFonts w:ascii="Times New Roman" w:eastAsia="Times" w:hAnsi="Times New Roman" w:cs="Times"/>
          <w:color w:val="000000" w:themeColor="text1"/>
          <w:sz w:val="24"/>
        </w:rPr>
        <w:t>Javacheff</w:t>
      </w:r>
      <w:proofErr w:type="spellEnd"/>
      <w:r w:rsidRPr="00C068D7">
        <w:rPr>
          <w:rFonts w:ascii="Times New Roman" w:eastAsia="Times" w:hAnsi="Times New Roman" w:cs="Times"/>
          <w:color w:val="000000" w:themeColor="text1"/>
          <w:sz w:val="24"/>
        </w:rPr>
        <w:t xml:space="preserve"> and Jeanne-Claude </w:t>
      </w:r>
      <w:proofErr w:type="spellStart"/>
      <w:r w:rsidRPr="00C068D7">
        <w:rPr>
          <w:rFonts w:ascii="Times New Roman" w:eastAsia="Times" w:hAnsi="Times New Roman" w:cs="Times"/>
          <w:color w:val="000000" w:themeColor="text1"/>
          <w:sz w:val="24"/>
        </w:rPr>
        <w:t>Denat</w:t>
      </w:r>
      <w:proofErr w:type="spellEnd"/>
      <w:r w:rsidRPr="00C068D7">
        <w:rPr>
          <w:rFonts w:ascii="Times New Roman" w:eastAsia="Times" w:hAnsi="Times New Roman" w:cs="Times"/>
          <w:color w:val="000000" w:themeColor="text1"/>
          <w:sz w:val="24"/>
        </w:rPr>
        <w:t xml:space="preserve">, known collectively as "Christo," installed 7,503 orange draped gates in Central Park. This work, known as "The Gates," lasted only two weeks but was the subject of significant critical acclaim and attention, not just from the art world but also from the </w:t>
      </w:r>
      <w:proofErr w:type="gramStart"/>
      <w:r w:rsidRPr="00C068D7">
        <w:rPr>
          <w:rFonts w:ascii="Times New Roman" w:eastAsia="Times" w:hAnsi="Times New Roman" w:cs="Times"/>
          <w:color w:val="000000" w:themeColor="text1"/>
          <w:sz w:val="24"/>
        </w:rPr>
        <w:t>general public</w:t>
      </w:r>
      <w:proofErr w:type="gramEnd"/>
      <w:r w:rsidRPr="00C068D7">
        <w:rPr>
          <w:rFonts w:ascii="Times New Roman" w:eastAsia="Times" w:hAnsi="Times New Roman" w:cs="Times"/>
          <w:color w:val="000000" w:themeColor="text1"/>
          <w:sz w:val="24"/>
        </w:rPr>
        <w:t xml:space="preserve">. </w:t>
      </w:r>
      <w:r w:rsidRPr="00C068D7">
        <w:rPr>
          <w:rFonts w:ascii="Times New Roman" w:eastAsia="Times" w:hAnsi="Times New Roman" w:cs="Times"/>
          <w:i/>
          <w:color w:val="000000" w:themeColor="text1"/>
          <w:sz w:val="24"/>
        </w:rPr>
        <w:t>See</w:t>
      </w:r>
      <w:r w:rsidRPr="00C068D7">
        <w:rPr>
          <w:rFonts w:ascii="Times New Roman" w:eastAsia="Times" w:hAnsi="Times New Roman" w:cs="Times"/>
          <w:color w:val="000000" w:themeColor="text1"/>
          <w:sz w:val="24"/>
        </w:rPr>
        <w:t xml:space="preserve"> Richard </w:t>
      </w:r>
      <w:proofErr w:type="spellStart"/>
      <w:r w:rsidRPr="00C068D7">
        <w:rPr>
          <w:rFonts w:ascii="Times New Roman" w:eastAsia="Times" w:hAnsi="Times New Roman" w:cs="Times"/>
          <w:color w:val="000000" w:themeColor="text1"/>
          <w:sz w:val="24"/>
        </w:rPr>
        <w:t>Chused</w:t>
      </w:r>
      <w:proofErr w:type="spellEnd"/>
      <w:r w:rsidRPr="00C068D7">
        <w:rPr>
          <w:rFonts w:ascii="Times New Roman" w:eastAsia="Times" w:hAnsi="Times New Roman" w:cs="Times"/>
          <w:color w:val="000000" w:themeColor="text1"/>
          <w:sz w:val="24"/>
        </w:rPr>
        <w:t xml:space="preserve">, </w:t>
      </w:r>
      <w:r w:rsidRPr="00C068D7">
        <w:rPr>
          <w:rFonts w:ascii="Times New Roman" w:eastAsia="Times" w:hAnsi="Times New Roman" w:cs="Times"/>
          <w:i/>
          <w:color w:val="000000" w:themeColor="text1"/>
          <w:sz w:val="24"/>
        </w:rPr>
        <w:t>Moral Rights: The Anti-Rebellion Graffiti Heritage of 5Pointz</w:t>
      </w:r>
      <w:r w:rsidRPr="00C068D7">
        <w:rPr>
          <w:rFonts w:ascii="Times New Roman" w:eastAsia="Times" w:hAnsi="Times New Roman" w:cs="Times"/>
          <w:color w:val="000000" w:themeColor="text1"/>
          <w:sz w:val="24"/>
        </w:rPr>
        <w:t xml:space="preserve">, </w:t>
      </w:r>
      <w:hyperlink r:id="rId44" w:history="1">
        <w:r w:rsidRPr="00C068D7">
          <w:rPr>
            <w:rFonts w:ascii="Times New Roman" w:eastAsia="Times" w:hAnsi="Times New Roman" w:cs="Times"/>
            <w:color w:val="000000" w:themeColor="text1"/>
            <w:sz w:val="24"/>
            <w:u w:val="single"/>
            <w:shd w:val="clear" w:color="auto" w:fill="FFFFFF"/>
          </w:rPr>
          <w:t>41 Colum. J.L. &amp; Arts 583, 597-98 (2018)</w:t>
        </w:r>
      </w:hyperlink>
      <w:r w:rsidRPr="00C068D7">
        <w:rPr>
          <w:rFonts w:ascii="Times New Roman" w:eastAsia="Times" w:hAnsi="Times New Roman" w:cs="Times"/>
          <w:color w:val="000000" w:themeColor="text1"/>
          <w:sz w:val="24"/>
        </w:rPr>
        <w:t xml:space="preserve">. As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concedes, "The Gates" achieved recognized stature and would have been protected under VARA.</w:t>
      </w:r>
    </w:p>
    <w:p w14:paraId="3D3957C3" w14:textId="75D0ED25"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71" w:name="Bookmark_para_33"/>
      <w:bookmarkEnd w:id="71"/>
      <w:r w:rsidRPr="00C068D7">
        <w:rPr>
          <w:rFonts w:ascii="Times New Roman" w:eastAsia="Times" w:hAnsi="Times New Roman" w:cs="Times"/>
          <w:color w:val="000000" w:themeColor="text1"/>
          <w:sz w:val="24"/>
        </w:rPr>
        <w:t xml:space="preserve">In recent years, "street art," much of which is "temporary," has emerged as a major category of contemporary art. As one scholar has noted, "street art" has "blossomed into far more than spray-painted tags and quickly vanishing pieces . . . painted by rebellious urbanites. In some quarters, it has become high art." </w:t>
      </w:r>
      <w:hyperlink r:id="rId45" w:history="1">
        <w:r w:rsidRPr="00C068D7">
          <w:rPr>
            <w:rFonts w:ascii="Times New Roman" w:eastAsia="Times" w:hAnsi="Times New Roman" w:cs="Times"/>
            <w:i/>
            <w:color w:val="000000" w:themeColor="text1"/>
            <w:sz w:val="24"/>
            <w:u w:val="single"/>
            <w:shd w:val="clear" w:color="auto" w:fill="FFFFFF"/>
          </w:rPr>
          <w:t>Id.</w:t>
        </w:r>
      </w:hyperlink>
      <w:hyperlink r:id="rId46" w:history="1">
        <w:r w:rsidRPr="00C068D7">
          <w:rPr>
            <w:rFonts w:ascii="Times New Roman" w:eastAsia="Times" w:hAnsi="Times New Roman" w:cs="Times"/>
            <w:color w:val="000000" w:themeColor="text1"/>
            <w:sz w:val="24"/>
            <w:u w:val="single"/>
            <w:shd w:val="clear" w:color="auto" w:fill="FFFFFF"/>
          </w:rPr>
          <w:t xml:space="preserve"> at </w:t>
        </w:r>
      </w:hyperlink>
      <w:hyperlink r:id="rId47" w:history="1">
        <w:r w:rsidRPr="00C068D7">
          <w:rPr>
            <w:rFonts w:ascii="Times New Roman" w:eastAsia="Times" w:hAnsi="Times New Roman" w:cs="Times"/>
            <w:b/>
            <w:color w:val="000000" w:themeColor="text1"/>
            <w:sz w:val="24"/>
            <w:u w:val="single"/>
            <w:shd w:val="clear" w:color="auto" w:fill="FFFFFF"/>
          </w:rPr>
          <w:t> [*168] </w:t>
        </w:r>
      </w:hyperlink>
      <w:hyperlink r:id="rId48" w:history="1">
        <w:r w:rsidRPr="00C068D7">
          <w:rPr>
            <w:rFonts w:ascii="Times New Roman" w:eastAsia="Times" w:hAnsi="Times New Roman" w:cs="Times"/>
            <w:color w:val="000000" w:themeColor="text1"/>
            <w:sz w:val="24"/>
            <w:u w:val="single"/>
            <w:shd w:val="clear" w:color="auto" w:fill="FFFFFF"/>
          </w:rPr>
          <w:t xml:space="preserve"> 583</w:t>
        </w:r>
      </w:hyperlink>
      <w:r w:rsidRPr="00C068D7">
        <w:rPr>
          <w:rFonts w:ascii="Times New Roman" w:eastAsia="Times" w:hAnsi="Times New Roman" w:cs="Times"/>
          <w:color w:val="000000" w:themeColor="text1"/>
          <w:sz w:val="24"/>
        </w:rPr>
        <w:t xml:space="preserve">. For example, noted street artist Banksy has appeared alongside President Barack Obama and Apple founder Steve Jobs on </w:t>
      </w:r>
      <w:r w:rsidRPr="00C068D7">
        <w:rPr>
          <w:rFonts w:ascii="Times New Roman" w:eastAsia="Times" w:hAnsi="Times New Roman" w:cs="Times"/>
          <w:i/>
          <w:color w:val="000000" w:themeColor="text1"/>
          <w:sz w:val="24"/>
        </w:rPr>
        <w:t>Time</w:t>
      </w:r>
      <w:r w:rsidRPr="00C068D7">
        <w:rPr>
          <w:rFonts w:ascii="Times New Roman" w:eastAsia="Times" w:hAnsi="Times New Roman" w:cs="Times"/>
          <w:color w:val="000000" w:themeColor="text1"/>
          <w:sz w:val="24"/>
        </w:rPr>
        <w:t xml:space="preserve"> magazine's list of the </w:t>
      </w:r>
      <w:proofErr w:type="gramStart"/>
      <w:r w:rsidRPr="00C068D7">
        <w:rPr>
          <w:rFonts w:ascii="Times New Roman" w:eastAsia="Times" w:hAnsi="Times New Roman" w:cs="Times"/>
          <w:color w:val="000000" w:themeColor="text1"/>
          <w:sz w:val="24"/>
        </w:rPr>
        <w:t>world's</w:t>
      </w:r>
      <w:proofErr w:type="gramEnd"/>
      <w:r w:rsidRPr="00C068D7">
        <w:rPr>
          <w:rFonts w:ascii="Times New Roman" w:eastAsia="Times" w:hAnsi="Times New Roman" w:cs="Times"/>
          <w:color w:val="000000" w:themeColor="text1"/>
          <w:sz w:val="24"/>
        </w:rPr>
        <w:t xml:space="preserve"> 100 most influential people.</w:t>
      </w:r>
      <w:r w:rsidRPr="00C068D7">
        <w:rPr>
          <w:rFonts w:ascii="Times New Roman" w:eastAsia="Times" w:hAnsi="Times New Roman" w:cs="Times"/>
          <w:color w:val="000000" w:themeColor="text1"/>
          <w:sz w:val="24"/>
          <w:vertAlign w:val="superscript"/>
        </w:rPr>
        <w:footnoteReference w:customMarkFollows="1" w:id="3"/>
        <w:t>3</w:t>
      </w:r>
      <w:r w:rsidRPr="00C068D7">
        <w:rPr>
          <w:rFonts w:ascii="Times New Roman" w:eastAsia="Times" w:hAnsi="Times New Roman" w:cs="Times"/>
          <w:color w:val="000000" w:themeColor="text1"/>
          <w:sz w:val="24"/>
        </w:rPr>
        <w:t xml:space="preserve"> Though often painted on building walls where it may be subject to overpainting, Banksy's work is nonetheless acknowledged, both by the art community and the general public, as of significant artistic</w:t>
      </w:r>
      <w:r w:rsidRPr="00C068D7">
        <w:rPr>
          <w:rFonts w:ascii="Times New Roman" w:eastAsia="Times" w:hAnsi="Times New Roman" w:cs="Times"/>
          <w:b/>
          <w:color w:val="000000" w:themeColor="text1"/>
          <w:sz w:val="24"/>
        </w:rPr>
        <w:t> </w:t>
      </w:r>
      <w:r w:rsidRPr="00C068D7">
        <w:rPr>
          <w:rFonts w:ascii="Times New Roman" w:eastAsia="Times" w:hAnsi="Times New Roman" w:cs="Times"/>
          <w:color w:val="000000" w:themeColor="text1"/>
          <w:sz w:val="24"/>
        </w:rPr>
        <w:t xml:space="preserve">merit and cultural importance. Famously, Banksy's </w:t>
      </w:r>
      <w:r w:rsidRPr="00C068D7">
        <w:rPr>
          <w:rFonts w:ascii="Times New Roman" w:eastAsia="Times" w:hAnsi="Times New Roman" w:cs="Times"/>
          <w:i/>
          <w:color w:val="000000" w:themeColor="text1"/>
          <w:sz w:val="24"/>
        </w:rPr>
        <w:t>Girl with a Balloon</w:t>
      </w:r>
      <w:r w:rsidRPr="00C068D7">
        <w:rPr>
          <w:rFonts w:ascii="Times New Roman" w:eastAsia="Times" w:hAnsi="Times New Roman" w:cs="Times"/>
          <w:color w:val="000000" w:themeColor="text1"/>
          <w:sz w:val="24"/>
        </w:rPr>
        <w:t xml:space="preserve"> self-destructed after selling for $1.4 million at Sotheby's, but, as with Banksy's street art, the temporary quality of this work has only added to its recognition.</w:t>
      </w:r>
      <w:r w:rsidRPr="00C068D7">
        <w:rPr>
          <w:rFonts w:ascii="Times New Roman" w:eastAsia="Times" w:hAnsi="Times New Roman" w:cs="Times"/>
          <w:color w:val="000000" w:themeColor="text1"/>
          <w:sz w:val="24"/>
          <w:vertAlign w:val="superscript"/>
        </w:rPr>
        <w:footnoteReference w:customMarkFollows="1" w:id="4"/>
        <w:t>4</w:t>
      </w:r>
    </w:p>
    <w:p w14:paraId="5BE89A7F" w14:textId="77777777"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74" w:name="Bookmark_para_34"/>
      <w:bookmarkEnd w:id="74"/>
      <w:r w:rsidRPr="00C068D7">
        <w:rPr>
          <w:rFonts w:ascii="Times New Roman" w:eastAsia="Times" w:hAnsi="Times New Roman" w:cs="Times"/>
          <w:color w:val="000000" w:themeColor="text1"/>
          <w:sz w:val="24"/>
        </w:rPr>
        <w:t>A Banksy painting at 5Pointz would have possessed recognized stature, even if it were temporary.</w:t>
      </w:r>
      <w:r w:rsidRPr="00C068D7">
        <w:rPr>
          <w:rFonts w:ascii="Times New Roman" w:eastAsia="Times" w:hAnsi="Times New Roman" w:cs="Times"/>
          <w:color w:val="000000" w:themeColor="text1"/>
          <w:sz w:val="24"/>
          <w:vertAlign w:val="superscript"/>
        </w:rPr>
        <w:footnoteReference w:customMarkFollows="1" w:id="5"/>
        <w:t>5</w:t>
      </w:r>
      <w:r w:rsidRPr="00C068D7">
        <w:rPr>
          <w:rFonts w:ascii="Times New Roman" w:eastAsia="Times" w:hAnsi="Times New Roman" w:cs="Times"/>
          <w:color w:val="000000" w:themeColor="text1"/>
          <w:sz w:val="24"/>
        </w:rPr>
        <w:t xml:space="preserve"> Even if "The Gates" had been replaced with another art exhibit, that work would have maintained its recognized stature. Although a work's short lifespan means that there will be fewer </w:t>
      </w:r>
      <w:r w:rsidRPr="00C068D7">
        <w:rPr>
          <w:rFonts w:ascii="Times New Roman" w:eastAsia="Times" w:hAnsi="Times New Roman" w:cs="Times"/>
          <w:color w:val="000000" w:themeColor="text1"/>
          <w:sz w:val="24"/>
        </w:rPr>
        <w:lastRenderedPageBreak/>
        <w:t>opportunities for the work to be viewed and evaluated, the temporary nature of the art is not a bar to recognized stature.</w:t>
      </w:r>
    </w:p>
    <w:p w14:paraId="057BDEFE" w14:textId="51B67431"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76" w:name="Bookmark_para_35"/>
      <w:bookmarkStart w:id="77" w:name="Bookmark_LNHNREFclscc15"/>
      <w:bookmarkEnd w:id="76"/>
      <w:bookmarkEnd w:id="77"/>
      <w:r w:rsidRPr="00C068D7">
        <w:rPr>
          <w:rFonts w:ascii="Times New Roman" w:eastAsia="Times" w:hAnsi="Times New Roman" w:cs="Times"/>
          <w:color w:val="000000" w:themeColor="text1"/>
          <w:sz w:val="24"/>
        </w:rPr>
        <w:t xml:space="preserve">The district court correctly observed that when Congress wanted to impose durational limits on work subject to VARA, it knew how to do so. For example, the statute provides that "[t]he modification of a work of visual art which is a result of the passage of time or the inherent nature of the materials is not a distortion, mutilation, or other modification described in </w:t>
      </w:r>
      <w:hyperlink r:id="rId49" w:history="1">
        <w:r w:rsidRPr="00C068D7">
          <w:rPr>
            <w:rFonts w:ascii="Times New Roman" w:eastAsia="Times" w:hAnsi="Times New Roman" w:cs="Times"/>
            <w:color w:val="000000" w:themeColor="text1"/>
            <w:sz w:val="24"/>
            <w:u w:val="single"/>
            <w:shd w:val="clear" w:color="auto" w:fill="FFFFFF"/>
          </w:rPr>
          <w:t>subsection (a)(3)(A)</w:t>
        </w:r>
      </w:hyperlink>
      <w:r w:rsidRPr="00C068D7">
        <w:rPr>
          <w:rFonts w:ascii="Times New Roman" w:eastAsia="Times" w:hAnsi="Times New Roman" w:cs="Times"/>
          <w:color w:val="000000" w:themeColor="text1"/>
          <w:sz w:val="24"/>
        </w:rPr>
        <w:t xml:space="preserve">." </w:t>
      </w:r>
      <w:hyperlink r:id="rId50" w:history="1">
        <w:r w:rsidRPr="00C068D7">
          <w:rPr>
            <w:rFonts w:ascii="Times New Roman" w:eastAsia="Times" w:hAnsi="Times New Roman" w:cs="Times"/>
            <w:color w:val="000000" w:themeColor="text1"/>
            <w:sz w:val="24"/>
            <w:u w:val="single"/>
            <w:shd w:val="clear" w:color="auto" w:fill="FFFFFF"/>
          </w:rPr>
          <w:t>17 U.S.C. § 106A(c)(1)</w:t>
        </w:r>
      </w:hyperlink>
      <w:r w:rsidRPr="00C068D7">
        <w:rPr>
          <w:rFonts w:ascii="Times New Roman" w:eastAsia="Times" w:hAnsi="Times New Roman" w:cs="Times"/>
          <w:color w:val="000000" w:themeColor="text1"/>
          <w:sz w:val="24"/>
        </w:rPr>
        <w:t xml:space="preserve">. For that reason, the gradual erosion of outdoor artwork exposed to the </w:t>
      </w:r>
      <w:proofErr w:type="gramStart"/>
      <w:r w:rsidRPr="00C068D7">
        <w:rPr>
          <w:rFonts w:ascii="Times New Roman" w:eastAsia="Times" w:hAnsi="Times New Roman" w:cs="Times"/>
          <w:color w:val="000000" w:themeColor="text1"/>
          <w:sz w:val="24"/>
        </w:rPr>
        <w:t>elements</w:t>
      </w:r>
      <w:proofErr w:type="gramEnd"/>
      <w:r w:rsidRPr="00C068D7">
        <w:rPr>
          <w:rFonts w:ascii="Times New Roman" w:eastAsia="Times" w:hAnsi="Times New Roman" w:cs="Times"/>
          <w:color w:val="000000" w:themeColor="text1"/>
          <w:sz w:val="24"/>
        </w:rPr>
        <w:t xml:space="preserve"> or the melting of an ice sculpture does not threaten liability. </w:t>
      </w:r>
      <w:bookmarkStart w:id="78" w:name="Bookmark_I5Y90KSB2D6N990050000400"/>
      <w:bookmarkEnd w:id="78"/>
      <w:r w:rsidRPr="00C068D7">
        <w:rPr>
          <w:rFonts w:ascii="Times New Roman" w:eastAsia="Times" w:hAnsi="Times New Roman" w:cs="Times"/>
          <w:color w:val="000000" w:themeColor="text1"/>
          <w:sz w:val="24"/>
        </w:rPr>
        <w:t xml:space="preserve">Congress also imposed a durational limit insofar as the statute protects only works that are "fixed"—"sufficiently permanent . . . to be perceived . . . for a period of more than transitory duration." </w:t>
      </w:r>
      <w:r w:rsidRPr="00C068D7">
        <w:rPr>
          <w:rFonts w:ascii="Times New Roman" w:eastAsia="Times" w:hAnsi="Times New Roman" w:cs="Times"/>
          <w:i/>
          <w:color w:val="000000" w:themeColor="text1"/>
          <w:sz w:val="24"/>
        </w:rPr>
        <w:t>Id.</w:t>
      </w:r>
      <w:r w:rsidRPr="00C068D7">
        <w:rPr>
          <w:rFonts w:ascii="Times New Roman" w:eastAsia="Times" w:hAnsi="Times New Roman" w:cs="Times"/>
          <w:color w:val="000000" w:themeColor="text1"/>
          <w:sz w:val="24"/>
        </w:rPr>
        <w:t xml:space="preserve"> </w:t>
      </w:r>
      <w:hyperlink r:id="rId51" w:history="1">
        <w:r w:rsidRPr="00C068D7">
          <w:rPr>
            <w:rFonts w:ascii="Times New Roman" w:eastAsia="Times" w:hAnsi="Times New Roman" w:cs="Times"/>
            <w:color w:val="000000" w:themeColor="text1"/>
            <w:sz w:val="24"/>
            <w:u w:val="single"/>
            <w:shd w:val="clear" w:color="auto" w:fill="FFFFFF"/>
          </w:rPr>
          <w:t>§§ 101</w:t>
        </w:r>
      </w:hyperlink>
      <w:r w:rsidRPr="00C068D7">
        <w:rPr>
          <w:rFonts w:ascii="Times New Roman" w:eastAsia="Times" w:hAnsi="Times New Roman" w:cs="Times"/>
          <w:color w:val="000000" w:themeColor="text1"/>
          <w:sz w:val="24"/>
        </w:rPr>
        <w:t xml:space="preserve">, </w:t>
      </w:r>
      <w:hyperlink r:id="rId52" w:history="1">
        <w:r w:rsidRPr="00C068D7">
          <w:rPr>
            <w:rFonts w:ascii="Times New Roman" w:eastAsia="Times" w:hAnsi="Times New Roman" w:cs="Times"/>
            <w:color w:val="000000" w:themeColor="text1"/>
            <w:sz w:val="24"/>
            <w:u w:val="single"/>
            <w:shd w:val="clear" w:color="auto" w:fill="FFFFFF"/>
          </w:rPr>
          <w:t>102(a)</w:t>
        </w:r>
      </w:hyperlink>
      <w:r w:rsidRPr="00C068D7">
        <w:rPr>
          <w:rFonts w:ascii="Times New Roman" w:eastAsia="Times" w:hAnsi="Times New Roman" w:cs="Times"/>
          <w:color w:val="000000" w:themeColor="text1"/>
          <w:sz w:val="24"/>
        </w:rPr>
        <w:t xml:space="preserve">. We have held that a work that exists for only 1.2 seconds is of merely transitory duration but have noted with approval cases holding that a work "embodied . . . for at least several minutes" is of more than transitory duration. </w:t>
      </w:r>
      <w:bookmarkStart w:id="79" w:name="Bookmark_I5Y90KSB2D6N990040000400"/>
      <w:bookmarkEnd w:id="79"/>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"https://plus.lexis.com/api/document?collection=cases&amp;id=urn:contentItem:4T4X-J2T0-TX4N-G0XC-00000-00&amp;context=1530671" </w:instrText>
      </w:r>
      <w:r w:rsidRPr="00C068D7">
        <w:rPr>
          <w:rFonts w:ascii="Times New Roman" w:hAnsi="Times New Roman"/>
          <w:color w:val="000000" w:themeColor="text1"/>
          <w:sz w:val="24"/>
        </w:rPr>
        <w:fldChar w:fldCharType="separate"/>
      </w:r>
      <w:r w:rsidRPr="00C068D7">
        <w:rPr>
          <w:rFonts w:ascii="Times New Roman" w:eastAsia="Times" w:hAnsi="Times New Roman" w:cs="Times"/>
          <w:i/>
          <w:color w:val="000000" w:themeColor="text1"/>
          <w:sz w:val="24"/>
          <w:u w:val="single"/>
          <w:shd w:val="clear" w:color="auto" w:fill="FFFFFF"/>
        </w:rPr>
        <w:t>Cartoon Network LP, LLLP v. CSC Holdings, Inc.</w:t>
      </w:r>
      <w:r w:rsidRPr="00C068D7">
        <w:rPr>
          <w:rFonts w:ascii="Times New Roman" w:eastAsia="Times" w:hAnsi="Times New Roman" w:cs="Times"/>
          <w:i/>
          <w:color w:val="000000" w:themeColor="text1"/>
          <w:sz w:val="24"/>
          <w:u w:val="single"/>
          <w:shd w:val="clear" w:color="auto" w:fill="FFFFFF"/>
        </w:rPr>
        <w:fldChar w:fldCharType="end"/>
      </w:r>
      <w:hyperlink r:id="rId53" w:history="1">
        <w:r w:rsidRPr="00C068D7">
          <w:rPr>
            <w:rFonts w:ascii="Times New Roman" w:eastAsia="Times" w:hAnsi="Times New Roman" w:cs="Times"/>
            <w:color w:val="000000" w:themeColor="text1"/>
            <w:sz w:val="24"/>
            <w:u w:val="single"/>
            <w:shd w:val="clear" w:color="auto" w:fill="FFFFFF"/>
          </w:rPr>
          <w:t>, 536 F.3d 121, 127-28 (2d Cir. 2008)</w:t>
        </w:r>
      </w:hyperlink>
      <w:r w:rsidRPr="00C068D7">
        <w:rPr>
          <w:rFonts w:ascii="Times New Roman" w:eastAsia="Times" w:hAnsi="Times New Roman" w:cs="Times"/>
          <w:color w:val="000000" w:themeColor="text1"/>
          <w:sz w:val="24"/>
        </w:rPr>
        <w:t>. It is undisputed that the 5Pointz works survived far longer than this and therefore satisfied the statute's minimal durational requirement.</w:t>
      </w:r>
    </w:p>
    <w:p w14:paraId="7C267C7A" w14:textId="4D5D852C"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80" w:name="Bookmark_para_36"/>
      <w:bookmarkEnd w:id="80"/>
      <w:r w:rsidRPr="00C068D7">
        <w:rPr>
          <w:rFonts w:ascii="Times New Roman" w:eastAsia="Times" w:hAnsi="Times New Roman" w:cs="Times"/>
          <w:color w:val="000000" w:themeColor="text1"/>
          <w:sz w:val="24"/>
        </w:rPr>
        <w:t xml:space="preserve">As a variation on the theme that temporary artwork does not merit VARA protection,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contends that because the artists were aware that the 5Pointz buildings might eventually be torn down, they should have expected their work to be destroyed.</w:t>
      </w:r>
      <w:r w:rsidRPr="00C068D7">
        <w:rPr>
          <w:rFonts w:ascii="Times New Roman" w:eastAsia="Times" w:hAnsi="Times New Roman" w:cs="Times"/>
          <w:color w:val="000000" w:themeColor="text1"/>
          <w:sz w:val="24"/>
          <w:vertAlign w:val="superscript"/>
        </w:rPr>
        <w:footnoteReference w:customMarkFollows="1" w:id="6"/>
        <w:t>6</w:t>
      </w:r>
      <w:r w:rsidRPr="00C068D7">
        <w:rPr>
          <w:rFonts w:ascii="Times New Roman" w:eastAsia="Times" w:hAnsi="Times New Roman" w:cs="Times"/>
          <w:color w:val="000000" w:themeColor="text1"/>
          <w:sz w:val="24"/>
        </w:rPr>
        <w:t xml:space="preserve"> The district court correctly observed, however, that VARA accounts for this possibility. </w:t>
      </w:r>
      <w:bookmarkStart w:id="82" w:name="Bookmark_LNHNREFclscc16"/>
      <w:bookmarkEnd w:id="82"/>
      <w:r w:rsidRPr="00C068D7">
        <w:rPr>
          <w:rFonts w:ascii="Times New Roman" w:eastAsia="Times" w:hAnsi="Times New Roman" w:cs="Times"/>
          <w:color w:val="000000" w:themeColor="text1"/>
          <w:sz w:val="24"/>
        </w:rPr>
        <w:t xml:space="preserve">Under </w:t>
      </w:r>
      <w:hyperlink r:id="rId54" w:history="1">
        <w:r w:rsidRPr="00C068D7">
          <w:rPr>
            <w:rFonts w:ascii="Times New Roman" w:eastAsia="Times" w:hAnsi="Times New Roman" w:cs="Times"/>
            <w:color w:val="000000" w:themeColor="text1"/>
            <w:sz w:val="24"/>
            <w:u w:val="single"/>
            <w:shd w:val="clear" w:color="auto" w:fill="FFFFFF"/>
          </w:rPr>
          <w:t>§ 113(d)</w:t>
        </w:r>
      </w:hyperlink>
      <w:r w:rsidRPr="00C068D7">
        <w:rPr>
          <w:rFonts w:ascii="Times New Roman" w:eastAsia="Times" w:hAnsi="Times New Roman" w:cs="Times"/>
          <w:color w:val="000000" w:themeColor="text1"/>
          <w:sz w:val="24"/>
        </w:rPr>
        <w:t xml:space="preserve">, if the art at 5Pointz was incorporated into the site such that it could not be removed without being destroyed, then </w:t>
      </w:r>
      <w:r w:rsidRPr="00C068D7">
        <w:rPr>
          <w:rFonts w:ascii="Times New Roman" w:eastAsia="Times" w:hAnsi="Times New Roman" w:cs="Times"/>
          <w:b/>
          <w:color w:val="000000" w:themeColor="text1"/>
          <w:sz w:val="24"/>
        </w:rPr>
        <w:t>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was required to obtain "a written instrument . . . that [was] signed by the owner of the building and the [artist] and that </w:t>
      </w:r>
      <w:proofErr w:type="spellStart"/>
      <w:r w:rsidRPr="00C068D7">
        <w:rPr>
          <w:rFonts w:ascii="Times New Roman" w:eastAsia="Times" w:hAnsi="Times New Roman" w:cs="Times"/>
          <w:color w:val="000000" w:themeColor="text1"/>
          <w:sz w:val="24"/>
        </w:rPr>
        <w:t>specifie</w:t>
      </w:r>
      <w:proofErr w:type="spellEnd"/>
      <w:r w:rsidRPr="00C068D7">
        <w:rPr>
          <w:rFonts w:ascii="Times New Roman" w:eastAsia="Times" w:hAnsi="Times New Roman" w:cs="Times"/>
          <w:color w:val="000000" w:themeColor="text1"/>
          <w:sz w:val="24"/>
        </w:rPr>
        <w:t xml:space="preserve">[d] that installation of the work may subject the work to destruction, distortion, mutilation, or other modification, by reason of its removal." </w:t>
      </w:r>
      <w:hyperlink r:id="rId55" w:history="1">
        <w:r w:rsidRPr="00C068D7">
          <w:rPr>
            <w:rFonts w:ascii="Times New Roman" w:eastAsia="Times" w:hAnsi="Times New Roman" w:cs="Times"/>
            <w:color w:val="000000" w:themeColor="text1"/>
            <w:sz w:val="24"/>
            <w:u w:val="single"/>
            <w:shd w:val="clear" w:color="auto" w:fill="FFFFFF"/>
          </w:rPr>
          <w:t>17 U.S.C. § 113(d)(1)(B)</w:t>
        </w:r>
      </w:hyperlink>
      <w:r w:rsidRPr="00C068D7">
        <w:rPr>
          <w:rFonts w:ascii="Times New Roman" w:eastAsia="Times" w:hAnsi="Times New Roman" w:cs="Times"/>
          <w:color w:val="000000" w:themeColor="text1"/>
          <w:sz w:val="24"/>
        </w:rPr>
        <w:t xml:space="preserve">. It is undisputed that no such instrument was executed. If, on the other hand, the 5Pointz art could have been safely removed, then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was required to provide written notice of the planned demolition and to allow the artists 90 days to remove the work or to pay for its removal. </w:t>
      </w:r>
      <w:r w:rsidRPr="00C068D7">
        <w:rPr>
          <w:rFonts w:ascii="Times New Roman" w:eastAsia="Times" w:hAnsi="Times New Roman" w:cs="Times"/>
          <w:i/>
          <w:color w:val="000000" w:themeColor="text1"/>
          <w:sz w:val="24"/>
        </w:rPr>
        <w:t>See id.</w:t>
      </w:r>
      <w:r w:rsidRPr="00C068D7">
        <w:rPr>
          <w:rFonts w:ascii="Times New Roman" w:eastAsia="Times" w:hAnsi="Times New Roman" w:cs="Times"/>
          <w:color w:val="000000" w:themeColor="text1"/>
          <w:sz w:val="24"/>
        </w:rPr>
        <w:t xml:space="preserve"> </w:t>
      </w:r>
      <w:hyperlink r:id="rId56" w:history="1">
        <w:r w:rsidRPr="00C068D7">
          <w:rPr>
            <w:rFonts w:ascii="Times New Roman" w:eastAsia="Times" w:hAnsi="Times New Roman" w:cs="Times"/>
            <w:color w:val="000000" w:themeColor="text1"/>
            <w:sz w:val="24"/>
            <w:u w:val="single"/>
            <w:shd w:val="clear" w:color="auto" w:fill="FFFFFF"/>
          </w:rPr>
          <w:t>§ 113(d)(2)(B)</w:t>
        </w:r>
      </w:hyperlink>
      <w:r w:rsidRPr="00C068D7">
        <w:rPr>
          <w:rFonts w:ascii="Times New Roman" w:eastAsia="Times" w:hAnsi="Times New Roman" w:cs="Times"/>
          <w:color w:val="000000" w:themeColor="text1"/>
          <w:sz w:val="24"/>
        </w:rPr>
        <w:t xml:space="preserve">. Again, it is undisputed that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did none of this.</w:t>
      </w:r>
    </w:p>
    <w:p w14:paraId="6B825C17" w14:textId="77777777" w:rsidR="00382C50" w:rsidRPr="00C068D7" w:rsidRDefault="00382C50" w:rsidP="00820FEE">
      <w:pPr>
        <w:pStyle w:val="ListParagraph"/>
        <w:widowControl/>
        <w:numPr>
          <w:ilvl w:val="0"/>
          <w:numId w:val="1"/>
        </w:numPr>
        <w:autoSpaceDE/>
        <w:autoSpaceDN/>
        <w:adjustRightInd/>
        <w:snapToGrid w:val="0"/>
        <w:spacing w:after="240"/>
        <w:ind w:left="3600" w:hanging="3600"/>
        <w:contextualSpacing w:val="0"/>
        <w:jc w:val="both"/>
        <w:rPr>
          <w:rFonts w:ascii="Times New Roman" w:hAnsi="Times New Roman"/>
          <w:color w:val="000000" w:themeColor="text1"/>
          <w:sz w:val="24"/>
        </w:rPr>
      </w:pPr>
      <w:r w:rsidRPr="00C068D7">
        <w:rPr>
          <w:rFonts w:ascii="Times New Roman" w:eastAsia="Times" w:hAnsi="Times New Roman" w:cs="Times"/>
          <w:color w:val="000000" w:themeColor="text1"/>
          <w:sz w:val="24"/>
        </w:rPr>
        <w:t>IV.</w:t>
      </w:r>
    </w:p>
    <w:p w14:paraId="0313BD4B" w14:textId="092BE206"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83" w:name="Bookmark_para_37"/>
      <w:bookmarkEnd w:id="83"/>
      <w:r w:rsidRPr="00C068D7">
        <w:rPr>
          <w:rFonts w:ascii="Times New Roman" w:eastAsia="Times" w:hAnsi="Times New Roman" w:cs="Times"/>
          <w:color w:val="000000" w:themeColor="text1"/>
          <w:sz w:val="24"/>
        </w:rPr>
        <w:t xml:space="preserve">In addition to his contention that temporary artwork cannot achieve recognized stature,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argues that the district court erred in several </w:t>
      </w:r>
      <w:r w:rsidRPr="00C068D7">
        <w:rPr>
          <w:rFonts w:ascii="Times New Roman" w:eastAsia="Times" w:hAnsi="Times New Roman" w:cs="Times"/>
          <w:color w:val="000000" w:themeColor="text1"/>
          <w:sz w:val="24"/>
        </w:rPr>
        <w:lastRenderedPageBreak/>
        <w:t>other respects. He contends that the court erroneously focused on recognized quality, rather than recognized stature, and that, contrary to the approach allegedly taken by the district court, recognized stature must be assessed at the time of a work's destruction, not at the time of trial. He argues that the court improperly credited the testimony of Renee Vara, the artists' expert, because she had not actually seen certain of the works prior to their destruction and had based her testimony on images she had examined. Finally,</w:t>
      </w:r>
      <w:r w:rsidRPr="00C068D7">
        <w:rPr>
          <w:rFonts w:ascii="Times New Roman" w:eastAsia="Times" w:hAnsi="Times New Roman" w:cs="Times"/>
          <w:b/>
          <w:color w:val="000000" w:themeColor="text1"/>
          <w:sz w:val="24"/>
        </w:rPr>
        <w:t>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objects to the district court's reliance on Jonathan Cohen's testimony about his curation of the artwork, as well as its consideration of the overall quality of 5Pointz as a site.</w:t>
      </w:r>
    </w:p>
    <w:p w14:paraId="27519F1E" w14:textId="77777777"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84" w:name="Bookmark_para_38"/>
      <w:bookmarkEnd w:id="84"/>
      <w:r w:rsidRPr="00C068D7">
        <w:rPr>
          <w:rFonts w:ascii="Times New Roman" w:eastAsia="Times" w:hAnsi="Times New Roman" w:cs="Times"/>
          <w:color w:val="000000" w:themeColor="text1"/>
          <w:sz w:val="24"/>
        </w:rPr>
        <w:t xml:space="preserve">None of these contentions, considered separately or in the aggregate, convinces us that any of Judge Block's findings were clearly erroneous. There is no merit to </w:t>
      </w:r>
      <w:proofErr w:type="spellStart"/>
      <w:r w:rsidRPr="00C068D7">
        <w:rPr>
          <w:rFonts w:ascii="Times New Roman" w:eastAsia="Times" w:hAnsi="Times New Roman" w:cs="Times"/>
          <w:color w:val="000000" w:themeColor="text1"/>
          <w:sz w:val="24"/>
        </w:rPr>
        <w:t>Wolkoff's</w:t>
      </w:r>
      <w:proofErr w:type="spellEnd"/>
      <w:r w:rsidRPr="00C068D7">
        <w:rPr>
          <w:rFonts w:ascii="Times New Roman" w:eastAsia="Times" w:hAnsi="Times New Roman" w:cs="Times"/>
          <w:color w:val="000000" w:themeColor="text1"/>
          <w:sz w:val="24"/>
        </w:rPr>
        <w:t xml:space="preserve"> contention that the court improperly focused on recognized quality as opposed to recognized stature. The court's detailed findings are dispositive on this point. Nor are we persuaded that the district court evaluated the works' recognition at the time of trial, since it explicitly stated that the "focus of [its] decision was the recognition the works achieved prior to the whitewash." S. </w:t>
      </w:r>
      <w:proofErr w:type="spellStart"/>
      <w:r w:rsidRPr="00C068D7">
        <w:rPr>
          <w:rFonts w:ascii="Times New Roman" w:eastAsia="Times" w:hAnsi="Times New Roman" w:cs="Times"/>
          <w:color w:val="000000" w:themeColor="text1"/>
          <w:sz w:val="24"/>
        </w:rPr>
        <w:t>App'x</w:t>
      </w:r>
      <w:proofErr w:type="spellEnd"/>
      <w:r w:rsidRPr="00C068D7">
        <w:rPr>
          <w:rFonts w:ascii="Times New Roman" w:eastAsia="Times" w:hAnsi="Times New Roman" w:cs="Times"/>
          <w:color w:val="000000" w:themeColor="text1"/>
          <w:sz w:val="24"/>
        </w:rPr>
        <w:t xml:space="preserve"> at 126. In any event, the quality of a work, assessed by an expert after it has been destroyed, can be probative of its pre-destruction quality, status, or caliber.</w:t>
      </w:r>
    </w:p>
    <w:p w14:paraId="01521693" w14:textId="52FF9BFE"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85" w:name="Bookmark_para_39"/>
      <w:bookmarkEnd w:id="85"/>
      <w:r w:rsidRPr="00C068D7">
        <w:rPr>
          <w:rFonts w:ascii="Times New Roman" w:eastAsia="Times" w:hAnsi="Times New Roman" w:cs="Times"/>
          <w:color w:val="000000" w:themeColor="text1"/>
          <w:sz w:val="24"/>
        </w:rPr>
        <w:t xml:space="preserve">Nor do we see merit in </w:t>
      </w:r>
      <w:proofErr w:type="spellStart"/>
      <w:r w:rsidRPr="00C068D7">
        <w:rPr>
          <w:rFonts w:ascii="Times New Roman" w:eastAsia="Times" w:hAnsi="Times New Roman" w:cs="Times"/>
          <w:color w:val="000000" w:themeColor="text1"/>
          <w:sz w:val="24"/>
        </w:rPr>
        <w:t>Wolkoff's</w:t>
      </w:r>
      <w:proofErr w:type="spellEnd"/>
      <w:r w:rsidRPr="00C068D7">
        <w:rPr>
          <w:rFonts w:ascii="Times New Roman" w:eastAsia="Times" w:hAnsi="Times New Roman" w:cs="Times"/>
          <w:color w:val="000000" w:themeColor="text1"/>
          <w:sz w:val="24"/>
        </w:rPr>
        <w:t xml:space="preserve"> criticism of the court's decision to credit the artists' experts. As is almost always the case where competing expert testimony is adduced, the trier of fact accepts one side's experts over the </w:t>
      </w:r>
      <w:proofErr w:type="gramStart"/>
      <w:r w:rsidRPr="00C068D7">
        <w:rPr>
          <w:rFonts w:ascii="Times New Roman" w:eastAsia="Times" w:hAnsi="Times New Roman" w:cs="Times"/>
          <w:color w:val="000000" w:themeColor="text1"/>
          <w:sz w:val="24"/>
        </w:rPr>
        <w:t>other's</w:t>
      </w:r>
      <w:proofErr w:type="gramEnd"/>
      <w:r w:rsidRPr="00C068D7">
        <w:rPr>
          <w:rFonts w:ascii="Times New Roman" w:eastAsia="Times" w:hAnsi="Times New Roman" w:cs="Times"/>
          <w:color w:val="000000" w:themeColor="text1"/>
          <w:sz w:val="24"/>
        </w:rPr>
        <w:t>. Judge Block did so here and gave sound reasons for his choice.</w:t>
      </w:r>
      <w:r w:rsidRPr="00C068D7">
        <w:rPr>
          <w:rFonts w:ascii="Times New Roman" w:eastAsia="Times" w:hAnsi="Times New Roman" w:cs="Times"/>
          <w:b/>
          <w:color w:val="000000" w:themeColor="text1"/>
          <w:sz w:val="24"/>
        </w:rPr>
        <w:t> </w:t>
      </w:r>
      <w:r w:rsidRPr="00C068D7">
        <w:rPr>
          <w:rFonts w:ascii="Times New Roman" w:eastAsia="Times" w:hAnsi="Times New Roman" w:cs="Times"/>
          <w:color w:val="000000" w:themeColor="text1"/>
          <w:sz w:val="24"/>
        </w:rPr>
        <w:t xml:space="preserve"> Renee Vara, the artists' expert, testified to the high artistic merit of the 5Pointz art but also testified that she had not seen the works before their destruction and had assessed them </w:t>
      </w:r>
      <w:proofErr w:type="gramStart"/>
      <w:r w:rsidRPr="00C068D7">
        <w:rPr>
          <w:rFonts w:ascii="Times New Roman" w:eastAsia="Times" w:hAnsi="Times New Roman" w:cs="Times"/>
          <w:color w:val="000000" w:themeColor="text1"/>
          <w:sz w:val="24"/>
        </w:rPr>
        <w:t>on the basis of</w:t>
      </w:r>
      <w:proofErr w:type="gramEnd"/>
      <w:r w:rsidRPr="00C068D7">
        <w:rPr>
          <w:rFonts w:ascii="Times New Roman" w:eastAsia="Times" w:hAnsi="Times New Roman" w:cs="Times"/>
          <w:color w:val="000000" w:themeColor="text1"/>
          <w:sz w:val="24"/>
        </w:rPr>
        <w:t xml:space="preserve"> images. We see nothing wrong and certainly nothing clearly erroneous with this approach, one well within a district court's broad discretion to accept or reject evidence.</w:t>
      </w:r>
    </w:p>
    <w:p w14:paraId="4538B342" w14:textId="68031B02"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86" w:name="Bookmark_para_40"/>
      <w:bookmarkEnd w:id="86"/>
      <w:r w:rsidRPr="00C068D7">
        <w:rPr>
          <w:rFonts w:ascii="Times New Roman" w:eastAsia="Times" w:hAnsi="Times New Roman" w:cs="Times"/>
          <w:color w:val="000000" w:themeColor="text1"/>
          <w:sz w:val="24"/>
        </w:rPr>
        <w:t xml:space="preserve">Next, </w:t>
      </w:r>
      <w:proofErr w:type="gramStart"/>
      <w:r w:rsidRPr="00C068D7">
        <w:rPr>
          <w:rFonts w:ascii="Times New Roman" w:eastAsia="Times" w:hAnsi="Times New Roman" w:cs="Times"/>
          <w:color w:val="000000" w:themeColor="text1"/>
          <w:sz w:val="24"/>
        </w:rPr>
        <w:t>Appellants</w:t>
      </w:r>
      <w:proofErr w:type="gramEnd"/>
      <w:r w:rsidRPr="00C068D7">
        <w:rPr>
          <w:rFonts w:ascii="Times New Roman" w:eastAsia="Times" w:hAnsi="Times New Roman" w:cs="Times"/>
          <w:color w:val="000000" w:themeColor="text1"/>
          <w:sz w:val="24"/>
        </w:rPr>
        <w:t xml:space="preserve"> object to the district court's reliance on Jonathan Cohen's testimony about his curation of the artwork. The district court reasoned that Cohen's selection process, which involved review of a portfolio of an artist's work and a plan for his or her 5Pointz project, screened for works of stature. Appellants, however, contend that this determination was irrelevant because Cohen made his evaluation before the artists painted their 5Pointz works. Nonetheless, the district court cogently reasoned that a respected aerosol artist's determination that another aerosol artist's work is worthy of display is appropriate evidence of stature. An artist whose merit has been recognized by another prominent artist, museum curator, or art critic is more likely to create work of recognized stature than an artist who has not been screened. This inference is even stronger where, as here, Cohen reviewed a </w:t>
      </w:r>
      <w:r w:rsidRPr="00C068D7">
        <w:rPr>
          <w:rFonts w:ascii="Times New Roman" w:eastAsia="Times" w:hAnsi="Times New Roman" w:cs="Times"/>
          <w:color w:val="000000" w:themeColor="text1"/>
          <w:sz w:val="24"/>
        </w:rPr>
        <w:lastRenderedPageBreak/>
        <w:t>plan for the subject work before allowing it to be painted.</w:t>
      </w:r>
      <w:r w:rsidRPr="00C068D7">
        <w:rPr>
          <w:rFonts w:ascii="Times New Roman" w:eastAsia="Times" w:hAnsi="Times New Roman" w:cs="Times"/>
          <w:color w:val="000000" w:themeColor="text1"/>
          <w:sz w:val="24"/>
          <w:vertAlign w:val="superscript"/>
        </w:rPr>
        <w:footnoteReference w:customMarkFollows="1" w:id="7"/>
        <w:t>7</w:t>
      </w:r>
      <w:r w:rsidRPr="00C068D7">
        <w:rPr>
          <w:rFonts w:ascii="Times New Roman" w:eastAsia="Times" w:hAnsi="Times New Roman" w:cs="Times"/>
          <w:color w:val="000000" w:themeColor="text1"/>
          <w:sz w:val="24"/>
        </w:rPr>
        <w:t xml:space="preserve"> Accepting and crediting such testimony easily falls within a district court's trial management responsibilities and in this instance involved no abuse of discretion or clear error.</w:t>
      </w:r>
    </w:p>
    <w:p w14:paraId="2B41CB1D" w14:textId="6499F4A4"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96" w:name="Bookmark_para_41"/>
      <w:bookmarkEnd w:id="96"/>
      <w:r w:rsidRPr="00C068D7">
        <w:rPr>
          <w:rFonts w:ascii="Times New Roman" w:eastAsia="Times" w:hAnsi="Times New Roman" w:cs="Times"/>
          <w:color w:val="000000" w:themeColor="text1"/>
          <w:sz w:val="24"/>
        </w:rPr>
        <w:t xml:space="preserve">Finally,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contends that the district court erroneously focused on the stature of the 5Pointz site rather than the individual 5Pointz works. Yet again we see no error. The district court did not focus exclusively on the stature of the site. The court considered the individual works at the site and determined that some were not of recognized stature. Setting that aside, we easily conclude that the site of a work is relevant to its recognition and stature and may, in certain cases, render the recognition and stature of a work beyond question. Appearance at a major site—</w:t>
      </w:r>
      <w:r w:rsidRPr="00C068D7">
        <w:rPr>
          <w:rFonts w:ascii="Times New Roman" w:eastAsia="Times" w:hAnsi="Times New Roman" w:cs="Times"/>
          <w:i/>
          <w:color w:val="000000" w:themeColor="text1"/>
          <w:sz w:val="24"/>
        </w:rPr>
        <w:t>e.g.</w:t>
      </w:r>
      <w:r w:rsidRPr="00C068D7">
        <w:rPr>
          <w:rFonts w:ascii="Times New Roman" w:eastAsia="Times" w:hAnsi="Times New Roman" w:cs="Times"/>
          <w:color w:val="000000" w:themeColor="text1"/>
          <w:sz w:val="24"/>
        </w:rPr>
        <w:t>, the Louvre or the Prado—ensures that a work will be recognized, that is, seen and appreciated by the public and the art community. The appearance of a work of art at a curated site such as a museum or 5Pointz means that the work has been deemed meritorious by the curator and therefore is evidence of stature. When the curator is distinguished, his selection of the work is especially probative. Consequently, we see no error when the district court considered the 5Pointz site itself as some evidence of the works' recognized stature.</w:t>
      </w:r>
    </w:p>
    <w:p w14:paraId="1619D833" w14:textId="77777777" w:rsidR="00382C50" w:rsidRPr="00C068D7" w:rsidRDefault="00382C50" w:rsidP="00C068D7">
      <w:pPr>
        <w:pStyle w:val="ListParagraph"/>
        <w:widowControl/>
        <w:numPr>
          <w:ilvl w:val="0"/>
          <w:numId w:val="1"/>
        </w:numPr>
        <w:autoSpaceDE/>
        <w:autoSpaceDN/>
        <w:adjustRightInd/>
        <w:snapToGrid w:val="0"/>
        <w:spacing w:after="480"/>
        <w:ind w:left="720"/>
        <w:contextualSpacing w:val="0"/>
        <w:jc w:val="both"/>
        <w:rPr>
          <w:rFonts w:ascii="Times New Roman" w:hAnsi="Times New Roman"/>
          <w:color w:val="000000" w:themeColor="text1"/>
          <w:sz w:val="24"/>
        </w:rPr>
      </w:pPr>
      <w:bookmarkStart w:id="97" w:name="Bookmark_para_42"/>
      <w:bookmarkStart w:id="98" w:name="Bookmark_I5Y90KSC2HM68B0050000400"/>
      <w:bookmarkStart w:id="99" w:name="Bookmark_I5Y90KSC2D6N9C0020000400"/>
      <w:bookmarkEnd w:id="97"/>
      <w:bookmarkEnd w:id="98"/>
      <w:bookmarkEnd w:id="99"/>
      <w:r w:rsidRPr="00C068D7">
        <w:rPr>
          <w:rFonts w:ascii="Times New Roman" w:eastAsia="Times" w:hAnsi="Times New Roman" w:cs="Times"/>
          <w:color w:val="000000" w:themeColor="text1"/>
          <w:sz w:val="24"/>
        </w:rPr>
        <w:t xml:space="preserve">The evidence before the district court was voluminous—sufficient to persuade both the advisory jury and Judge Block. </w:t>
      </w:r>
      <w:bookmarkStart w:id="100" w:name="Bookmark_LNHNREFclscc18"/>
      <w:bookmarkEnd w:id="100"/>
      <w:r w:rsidRPr="00C068D7">
        <w:rPr>
          <w:rFonts w:ascii="Times New Roman" w:eastAsia="Times" w:hAnsi="Times New Roman" w:cs="Times"/>
          <w:color w:val="000000" w:themeColor="text1"/>
          <w:sz w:val="24"/>
        </w:rPr>
        <w:t xml:space="preserve">In addition to extensive lay testimony and documentary evidence, it included much expert testimony, which is often the linchpin of claims of "recognized stature." </w:t>
      </w:r>
      <w:r w:rsidRPr="00C068D7">
        <w:rPr>
          <w:rFonts w:ascii="Times New Roman" w:eastAsia="Times" w:hAnsi="Times New Roman" w:cs="Times"/>
          <w:i/>
          <w:color w:val="000000" w:themeColor="text1"/>
          <w:sz w:val="24"/>
        </w:rPr>
        <w:t xml:space="preserve">See </w:t>
      </w:r>
      <w:bookmarkStart w:id="101" w:name="Bookmark_I5Y90KSC2HM68B0040000400"/>
      <w:bookmarkEnd w:id="101"/>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"https://plus.lexis.com/api/document?collection=cases&amp;id=urn:contentItem:3S4N-CCW0-003B-V3R5-00000-00&amp;context=1530671" </w:instrText>
      </w:r>
      <w:r w:rsidRPr="00C068D7">
        <w:rPr>
          <w:rFonts w:ascii="Times New Roman" w:hAnsi="Times New Roman"/>
          <w:color w:val="000000" w:themeColor="text1"/>
          <w:sz w:val="24"/>
        </w:rPr>
        <w:fldChar w:fldCharType="separate"/>
      </w:r>
      <w:r w:rsidRPr="00C068D7">
        <w:rPr>
          <w:rFonts w:ascii="Times New Roman" w:eastAsia="Times" w:hAnsi="Times New Roman" w:cs="Times"/>
          <w:i/>
          <w:color w:val="000000" w:themeColor="text1"/>
          <w:sz w:val="24"/>
          <w:u w:val="single"/>
          <w:shd w:val="clear" w:color="auto" w:fill="FFFFFF"/>
        </w:rPr>
        <w:t>Carter</w:t>
      </w:r>
      <w:r w:rsidRPr="00C068D7">
        <w:rPr>
          <w:rFonts w:ascii="Times New Roman" w:eastAsia="Times" w:hAnsi="Times New Roman" w:cs="Times"/>
          <w:i/>
          <w:color w:val="000000" w:themeColor="text1"/>
          <w:sz w:val="24"/>
          <w:u w:val="single"/>
          <w:shd w:val="clear" w:color="auto" w:fill="FFFFFF"/>
        </w:rPr>
        <w:fldChar w:fldCharType="end"/>
      </w:r>
      <w:hyperlink r:id="rId57" w:history="1">
        <w:r w:rsidRPr="00C068D7">
          <w:rPr>
            <w:rFonts w:ascii="Times New Roman" w:eastAsia="Times" w:hAnsi="Times New Roman" w:cs="Times"/>
            <w:color w:val="000000" w:themeColor="text1"/>
            <w:sz w:val="24"/>
            <w:u w:val="single"/>
            <w:shd w:val="clear" w:color="auto" w:fill="FFFFFF"/>
          </w:rPr>
          <w:t>, 861 F. Supp. at 325</w:t>
        </w:r>
      </w:hyperlink>
      <w:r w:rsidRPr="00C068D7">
        <w:rPr>
          <w:rFonts w:ascii="Times New Roman" w:eastAsia="Times" w:hAnsi="Times New Roman" w:cs="Times"/>
          <w:color w:val="000000" w:themeColor="text1"/>
          <w:sz w:val="24"/>
        </w:rPr>
        <w:t xml:space="preserve">. The evidence supporting the district court's findings is vast, and we do not arrive at "the definite and firm conviction that a mistake has been committed." </w:t>
      </w:r>
      <w:bookmarkStart w:id="102" w:name="Bookmark_I5Y90KSC2D6N9C0010000400"/>
      <w:bookmarkEnd w:id="102"/>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"https://plus.lexis.com/api/document?collection=cases&amp;id=urn:contentItem:5J2H-68Y1-F04K-J0K5-00000-00&amp;context=1530671" </w:instrText>
      </w:r>
      <w:r w:rsidRPr="00C068D7">
        <w:rPr>
          <w:rFonts w:ascii="Times New Roman" w:hAnsi="Times New Roman"/>
          <w:color w:val="000000" w:themeColor="text1"/>
          <w:sz w:val="24"/>
        </w:rPr>
        <w:fldChar w:fldCharType="separate"/>
      </w:r>
      <w:r w:rsidRPr="00C068D7">
        <w:rPr>
          <w:rFonts w:ascii="Times New Roman" w:eastAsia="Times" w:hAnsi="Times New Roman" w:cs="Times"/>
          <w:i/>
          <w:color w:val="000000" w:themeColor="text1"/>
          <w:sz w:val="24"/>
          <w:u w:val="single"/>
          <w:shd w:val="clear" w:color="auto" w:fill="FFFFFF"/>
        </w:rPr>
        <w:t>Wu Lin</w:t>
      </w:r>
      <w:r w:rsidRPr="00C068D7">
        <w:rPr>
          <w:rFonts w:ascii="Times New Roman" w:eastAsia="Times" w:hAnsi="Times New Roman" w:cs="Times"/>
          <w:i/>
          <w:color w:val="000000" w:themeColor="text1"/>
          <w:sz w:val="24"/>
          <w:u w:val="single"/>
          <w:shd w:val="clear" w:color="auto" w:fill="FFFFFF"/>
        </w:rPr>
        <w:fldChar w:fldCharType="end"/>
      </w:r>
      <w:hyperlink r:id="rId58" w:history="1">
        <w:r w:rsidRPr="00C068D7">
          <w:rPr>
            <w:rFonts w:ascii="Times New Roman" w:eastAsia="Times" w:hAnsi="Times New Roman" w:cs="Times"/>
            <w:color w:val="000000" w:themeColor="text1"/>
            <w:sz w:val="24"/>
            <w:u w:val="single"/>
            <w:shd w:val="clear" w:color="auto" w:fill="FFFFFF"/>
          </w:rPr>
          <w:t>, 813 F.3d at 126</w:t>
        </w:r>
      </w:hyperlink>
      <w:r w:rsidRPr="00C068D7">
        <w:rPr>
          <w:rFonts w:ascii="Times New Roman" w:eastAsia="Times" w:hAnsi="Times New Roman" w:cs="Times"/>
          <w:color w:val="000000" w:themeColor="text1"/>
          <w:sz w:val="24"/>
        </w:rPr>
        <w:t>. Because the district court applied the correct legal standard and did not commit clear error, its determination as to liability is affirmed.</w:t>
      </w:r>
    </w:p>
    <w:p w14:paraId="7887ECFF" w14:textId="77777777" w:rsidR="00382C50" w:rsidRPr="00C068D7" w:rsidRDefault="00382C50" w:rsidP="00820FEE">
      <w:pPr>
        <w:pStyle w:val="ListParagraph"/>
        <w:widowControl/>
        <w:numPr>
          <w:ilvl w:val="0"/>
          <w:numId w:val="1"/>
        </w:numPr>
        <w:autoSpaceDE/>
        <w:autoSpaceDN/>
        <w:adjustRightInd/>
        <w:snapToGrid w:val="0"/>
        <w:spacing w:after="240"/>
        <w:ind w:left="3600" w:hanging="3600"/>
        <w:contextualSpacing w:val="0"/>
        <w:jc w:val="both"/>
        <w:rPr>
          <w:rFonts w:ascii="Times New Roman" w:hAnsi="Times New Roman"/>
          <w:color w:val="000000" w:themeColor="text1"/>
          <w:sz w:val="24"/>
        </w:rPr>
      </w:pPr>
      <w:r w:rsidRPr="00C068D7">
        <w:rPr>
          <w:rFonts w:ascii="Times New Roman" w:eastAsia="Times" w:hAnsi="Times New Roman" w:cs="Times"/>
          <w:color w:val="000000" w:themeColor="text1"/>
          <w:sz w:val="24"/>
        </w:rPr>
        <w:lastRenderedPageBreak/>
        <w:t>V.</w:t>
      </w:r>
    </w:p>
    <w:p w14:paraId="119BF5FD" w14:textId="32D39CB1"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103" w:name="Bookmark_para_43"/>
      <w:bookmarkEnd w:id="103"/>
      <w:r w:rsidRPr="00C068D7">
        <w:rPr>
          <w:rFonts w:ascii="Times New Roman" w:eastAsia="Times" w:hAnsi="Times New Roman" w:cs="Times"/>
          <w:color w:val="000000" w:themeColor="text1"/>
          <w:sz w:val="24"/>
        </w:rPr>
        <w:t xml:space="preserve">Appellants next challenge the district court's award of damages. The court did not award actual damages because it could not quantify the market value of the 5Pointz art. However, the court found that Appellants' violation of VARA was willful, and the advisory jury arrived at the same conclusion. </w:t>
      </w:r>
      <w:bookmarkStart w:id="104" w:name="Bookmark_I5Y90KSC2D6N9C0040000400"/>
      <w:bookmarkEnd w:id="104"/>
      <w:r w:rsidRPr="00C068D7">
        <w:rPr>
          <w:rFonts w:ascii="Times New Roman" w:eastAsia="Times" w:hAnsi="Times New Roman" w:cs="Times"/>
          <w:i/>
          <w:color w:val="000000" w:themeColor="text1"/>
          <w:sz w:val="24"/>
        </w:rPr>
        <w:t>See</w:t>
      </w:r>
      <w:r w:rsidRPr="00C068D7">
        <w:rPr>
          <w:rFonts w:ascii="Times New Roman" w:eastAsia="Times" w:hAnsi="Times New Roman" w:cs="Times"/>
          <w:color w:val="000000" w:themeColor="text1"/>
          <w:sz w:val="24"/>
        </w:rPr>
        <w:t xml:space="preserve"> </w:t>
      </w:r>
      <w:hyperlink r:id="rId59" w:history="1">
        <w:r w:rsidRPr="00C068D7">
          <w:rPr>
            <w:rFonts w:ascii="Times New Roman" w:eastAsia="Times" w:hAnsi="Times New Roman" w:cs="Times"/>
            <w:color w:val="000000" w:themeColor="text1"/>
            <w:sz w:val="24"/>
            <w:u w:val="single"/>
            <w:shd w:val="clear" w:color="auto" w:fill="FFFFFF"/>
          </w:rPr>
          <w:t>17 U.S.C. § 504(c)(2)</w:t>
        </w:r>
      </w:hyperlink>
      <w:r w:rsidRPr="00C068D7">
        <w:rPr>
          <w:rFonts w:ascii="Times New Roman" w:eastAsia="Times" w:hAnsi="Times New Roman" w:cs="Times"/>
          <w:color w:val="000000" w:themeColor="text1"/>
          <w:sz w:val="24"/>
        </w:rPr>
        <w:t xml:space="preserve">. </w:t>
      </w:r>
      <w:bookmarkStart w:id="105" w:name="Bookmark_LNHNREFclscc19"/>
      <w:bookmarkEnd w:id="105"/>
      <w:r w:rsidRPr="00C068D7">
        <w:rPr>
          <w:rFonts w:ascii="Times New Roman" w:eastAsia="Times" w:hAnsi="Times New Roman" w:cs="Times"/>
          <w:color w:val="000000" w:themeColor="text1"/>
          <w:sz w:val="24"/>
        </w:rPr>
        <w:t xml:space="preserve">A violation is willful when a defendant had knowledge that its conduct was unlawful or recklessly disregarded that possibility. </w:t>
      </w:r>
      <w:bookmarkStart w:id="106" w:name="Bookmark_I5Y90KSC2D6N9C0030000400"/>
      <w:bookmarkEnd w:id="106"/>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"https://plus.lexis.com/api/document?collection=cases&amp;id=urn:contentItem:7YB9-C6C1-652R-01M7-00000-00&amp;context=1530671" </w:instrText>
      </w:r>
      <w:r w:rsidRPr="00C068D7">
        <w:rPr>
          <w:rFonts w:ascii="Times New Roman" w:hAnsi="Times New Roman"/>
          <w:color w:val="000000" w:themeColor="text1"/>
          <w:sz w:val="24"/>
        </w:rPr>
        <w:fldChar w:fldCharType="separate"/>
      </w:r>
      <w:r w:rsidRPr="00C068D7">
        <w:rPr>
          <w:rFonts w:ascii="Times New Roman" w:eastAsia="Times" w:hAnsi="Times New Roman" w:cs="Times"/>
          <w:i/>
          <w:color w:val="000000" w:themeColor="text1"/>
          <w:sz w:val="24"/>
          <w:u w:val="single"/>
          <w:shd w:val="clear" w:color="auto" w:fill="FFFFFF"/>
        </w:rPr>
        <w:t xml:space="preserve">Bryant v. Media </w:t>
      </w:r>
      <w:r w:rsidRPr="00C068D7">
        <w:rPr>
          <w:rFonts w:ascii="Times New Roman" w:eastAsia="Times" w:hAnsi="Times New Roman" w:cs="Times"/>
          <w:i/>
          <w:color w:val="000000" w:themeColor="text1"/>
          <w:sz w:val="24"/>
          <w:u w:val="single"/>
          <w:shd w:val="clear" w:color="auto" w:fill="FFFFFF"/>
        </w:rPr>
        <w:fldChar w:fldCharType="end"/>
      </w:r>
      <w:hyperlink r:id="rId60" w:history="1">
        <w:r w:rsidRPr="00C068D7">
          <w:rPr>
            <w:rFonts w:ascii="Times New Roman" w:eastAsia="Times" w:hAnsi="Times New Roman" w:cs="Times"/>
            <w:b/>
            <w:i/>
            <w:color w:val="000000" w:themeColor="text1"/>
            <w:sz w:val="24"/>
            <w:u w:val="single"/>
            <w:shd w:val="clear" w:color="auto" w:fill="FFFFFF"/>
          </w:rPr>
          <w:t> [*171] </w:t>
        </w:r>
      </w:hyperlink>
      <w:hyperlink r:id="rId61" w:history="1">
        <w:r w:rsidRPr="00C068D7">
          <w:rPr>
            <w:rFonts w:ascii="Times New Roman" w:eastAsia="Times" w:hAnsi="Times New Roman" w:cs="Times"/>
            <w:i/>
            <w:color w:val="000000" w:themeColor="text1"/>
            <w:sz w:val="24"/>
            <w:u w:val="single"/>
            <w:shd w:val="clear" w:color="auto" w:fill="FFFFFF"/>
          </w:rPr>
          <w:t xml:space="preserve"> Right Prods., Inc.</w:t>
        </w:r>
      </w:hyperlink>
      <w:hyperlink r:id="rId62" w:history="1">
        <w:r w:rsidRPr="00C068D7">
          <w:rPr>
            <w:rFonts w:ascii="Times New Roman" w:eastAsia="Times" w:hAnsi="Times New Roman" w:cs="Times"/>
            <w:color w:val="000000" w:themeColor="text1"/>
            <w:sz w:val="24"/>
            <w:u w:val="single"/>
            <w:shd w:val="clear" w:color="auto" w:fill="FFFFFF"/>
          </w:rPr>
          <w:t>, 603 F.3d 135, 143 (2d Cir. 2010)</w:t>
        </w:r>
      </w:hyperlink>
      <w:r w:rsidRPr="00C068D7">
        <w:rPr>
          <w:rFonts w:ascii="Times New Roman" w:eastAsia="Times" w:hAnsi="Times New Roman" w:cs="Times"/>
          <w:color w:val="000000" w:themeColor="text1"/>
          <w:sz w:val="24"/>
        </w:rPr>
        <w:t>.</w:t>
      </w:r>
    </w:p>
    <w:p w14:paraId="2738AE6C" w14:textId="77777777"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107" w:name="Bookmark_para_44"/>
      <w:bookmarkStart w:id="108" w:name="Bookmark_I5Y90KSC2SF8T80010000400"/>
      <w:bookmarkStart w:id="109" w:name="Bookmark_LNHNREFclscc20"/>
      <w:bookmarkEnd w:id="107"/>
      <w:bookmarkEnd w:id="108"/>
      <w:bookmarkEnd w:id="109"/>
      <w:r w:rsidRPr="00C068D7">
        <w:rPr>
          <w:rFonts w:ascii="Times New Roman" w:eastAsia="Times" w:hAnsi="Times New Roman" w:cs="Times"/>
          <w:color w:val="000000" w:themeColor="text1"/>
          <w:sz w:val="24"/>
        </w:rPr>
        <w:t xml:space="preserve">We review the district court's finding of willfulness for clear error, and we see none. </w:t>
      </w:r>
      <w:r w:rsidRPr="00C068D7">
        <w:rPr>
          <w:rFonts w:ascii="Times New Roman" w:eastAsia="Times" w:hAnsi="Times New Roman" w:cs="Times"/>
          <w:i/>
          <w:color w:val="000000" w:themeColor="text1"/>
          <w:sz w:val="24"/>
        </w:rPr>
        <w:t xml:space="preserve">See </w:t>
      </w:r>
      <w:bookmarkStart w:id="110" w:name="Bookmark_I5Y90KSC2D6N9C0050000400"/>
      <w:bookmarkEnd w:id="110"/>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"https://plus.lexis.com/api/document?collection=cases&amp;id=urn:contentItem:5WS5-WPX1-JSRM-61FS-00000-00&amp;context=1530671" </w:instrText>
      </w:r>
      <w:r w:rsidRPr="00C068D7">
        <w:rPr>
          <w:rFonts w:ascii="Times New Roman" w:hAnsi="Times New Roman"/>
          <w:color w:val="000000" w:themeColor="text1"/>
          <w:sz w:val="24"/>
        </w:rPr>
        <w:fldChar w:fldCharType="separate"/>
      </w:r>
      <w:r w:rsidRPr="00C068D7">
        <w:rPr>
          <w:rFonts w:ascii="Times New Roman" w:eastAsia="Times" w:hAnsi="Times New Roman" w:cs="Times"/>
          <w:i/>
          <w:color w:val="000000" w:themeColor="text1"/>
          <w:sz w:val="24"/>
          <w:u w:val="single"/>
          <w:shd w:val="clear" w:color="auto" w:fill="FFFFFF"/>
        </w:rPr>
        <w:t>4 Pillar Dynasty LLC v. N.Y. &amp; Co., Inc.</w:t>
      </w:r>
      <w:r w:rsidRPr="00C068D7">
        <w:rPr>
          <w:rFonts w:ascii="Times New Roman" w:eastAsia="Times" w:hAnsi="Times New Roman" w:cs="Times"/>
          <w:i/>
          <w:color w:val="000000" w:themeColor="text1"/>
          <w:sz w:val="24"/>
          <w:u w:val="single"/>
          <w:shd w:val="clear" w:color="auto" w:fill="FFFFFF"/>
        </w:rPr>
        <w:fldChar w:fldCharType="end"/>
      </w:r>
      <w:hyperlink r:id="rId63" w:history="1">
        <w:r w:rsidRPr="00C068D7">
          <w:rPr>
            <w:rFonts w:ascii="Times New Roman" w:eastAsia="Times" w:hAnsi="Times New Roman" w:cs="Times"/>
            <w:color w:val="000000" w:themeColor="text1"/>
            <w:sz w:val="24"/>
            <w:u w:val="single"/>
            <w:shd w:val="clear" w:color="auto" w:fill="FFFFFF"/>
          </w:rPr>
          <w:t>, 933 F.3d 202, 209 (2d Cir. 2019)</w:t>
        </w:r>
      </w:hyperlink>
      <w:r w:rsidRPr="00C068D7">
        <w:rPr>
          <w:rFonts w:ascii="Times New Roman" w:eastAsia="Times" w:hAnsi="Times New Roman" w:cs="Times"/>
          <w:color w:val="000000" w:themeColor="text1"/>
          <w:sz w:val="24"/>
        </w:rPr>
        <w:t xml:space="preserve">. As Judge Block found,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admitted his awareness, prior to destroying 5Pointz, that the artists were pressing VARA claims.</w:t>
      </w:r>
      <w:r w:rsidRPr="00C068D7">
        <w:rPr>
          <w:rFonts w:ascii="Times New Roman" w:eastAsia="Times" w:hAnsi="Times New Roman" w:cs="Times"/>
          <w:color w:val="000000" w:themeColor="text1"/>
          <w:sz w:val="24"/>
          <w:vertAlign w:val="superscript"/>
        </w:rPr>
        <w:footnoteReference w:customMarkFollows="1" w:id="8"/>
        <w:t>8</w:t>
      </w:r>
      <w:r w:rsidRPr="00C068D7">
        <w:rPr>
          <w:rFonts w:ascii="Times New Roman" w:eastAsia="Times" w:hAnsi="Times New Roman" w:cs="Times"/>
          <w:color w:val="000000" w:themeColor="text1"/>
          <w:sz w:val="24"/>
        </w:rPr>
        <w:t xml:space="preserve"> Additionally, </w:t>
      </w:r>
      <w:bookmarkStart w:id="112" w:name="Bookmark_LNHNREFclscc21"/>
      <w:bookmarkEnd w:id="112"/>
      <w:r w:rsidRPr="00C068D7">
        <w:rPr>
          <w:rFonts w:ascii="Times New Roman" w:eastAsia="Times" w:hAnsi="Times New Roman" w:cs="Times"/>
          <w:color w:val="000000" w:themeColor="text1"/>
          <w:sz w:val="24"/>
        </w:rPr>
        <w:t xml:space="preserve">VARA contains provisions limiting artists' rights vis-à-vis building owners when owners give them 90 days' notice and the opportunity to remove their artwork, </w:t>
      </w:r>
      <w:hyperlink r:id="rId64" w:history="1">
        <w:r w:rsidRPr="00C068D7">
          <w:rPr>
            <w:rFonts w:ascii="Times New Roman" w:eastAsia="Times" w:hAnsi="Times New Roman" w:cs="Times"/>
            <w:color w:val="000000" w:themeColor="text1"/>
            <w:sz w:val="24"/>
            <w:u w:val="single"/>
            <w:shd w:val="clear" w:color="auto" w:fill="FFFFFF"/>
          </w:rPr>
          <w:t>17 U.S.C. § 113(d)(2)</w:t>
        </w:r>
      </w:hyperlink>
      <w:r w:rsidRPr="00C068D7">
        <w:rPr>
          <w:rFonts w:ascii="Times New Roman" w:eastAsia="Times" w:hAnsi="Times New Roman" w:cs="Times"/>
          <w:color w:val="000000" w:themeColor="text1"/>
          <w:sz w:val="24"/>
        </w:rPr>
        <w:t xml:space="preserve">, but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testified that, although he was advised by counsel both before and after the destruction, he chose "to hire people to whitewash[] it in one shot instead of </w:t>
      </w:r>
      <w:r w:rsidRPr="00C068D7">
        <w:rPr>
          <w:rFonts w:ascii="Times New Roman" w:eastAsia="Times" w:hAnsi="Times New Roman" w:cs="Times"/>
          <w:i/>
          <w:color w:val="000000" w:themeColor="text1"/>
          <w:sz w:val="24"/>
        </w:rPr>
        <w:t>waiting for three months</w:t>
      </w:r>
      <w:r w:rsidRPr="00C068D7">
        <w:rPr>
          <w:rFonts w:ascii="Times New Roman" w:eastAsia="Times" w:hAnsi="Times New Roman" w:cs="Times"/>
          <w:color w:val="000000" w:themeColor="text1"/>
          <w:sz w:val="24"/>
        </w:rPr>
        <w:t xml:space="preserve">," S. </w:t>
      </w:r>
      <w:proofErr w:type="spellStart"/>
      <w:r w:rsidRPr="00C068D7">
        <w:rPr>
          <w:rFonts w:ascii="Times New Roman" w:eastAsia="Times" w:hAnsi="Times New Roman" w:cs="Times"/>
          <w:color w:val="000000" w:themeColor="text1"/>
          <w:sz w:val="24"/>
        </w:rPr>
        <w:t>App'x</w:t>
      </w:r>
      <w:proofErr w:type="spellEnd"/>
      <w:r w:rsidRPr="00C068D7">
        <w:rPr>
          <w:rFonts w:ascii="Times New Roman" w:eastAsia="Times" w:hAnsi="Times New Roman" w:cs="Times"/>
          <w:color w:val="000000" w:themeColor="text1"/>
          <w:sz w:val="24"/>
        </w:rPr>
        <w:t xml:space="preserve"> at 43 (alteration in original). The district court found that this testimony evinced a deliberate choice to violate VARA rather than to follow the statutory notice procedures.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did not help his cause when he later reminded the district court that he "would make the same decision today." J. </w:t>
      </w:r>
      <w:proofErr w:type="spellStart"/>
      <w:r w:rsidRPr="00C068D7">
        <w:rPr>
          <w:rFonts w:ascii="Times New Roman" w:eastAsia="Times" w:hAnsi="Times New Roman" w:cs="Times"/>
          <w:color w:val="000000" w:themeColor="text1"/>
          <w:sz w:val="24"/>
        </w:rPr>
        <w:t>App'x</w:t>
      </w:r>
      <w:proofErr w:type="spellEnd"/>
      <w:r w:rsidRPr="00C068D7">
        <w:rPr>
          <w:rFonts w:ascii="Times New Roman" w:eastAsia="Times" w:hAnsi="Times New Roman" w:cs="Times"/>
          <w:color w:val="000000" w:themeColor="text1"/>
          <w:sz w:val="24"/>
        </w:rPr>
        <w:t xml:space="preserve"> at 2427.</w:t>
      </w:r>
    </w:p>
    <w:p w14:paraId="448831F6" w14:textId="29DC4FC6"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113" w:name="Bookmark_para_45"/>
      <w:bookmarkEnd w:id="113"/>
      <w:r w:rsidRPr="00C068D7">
        <w:rPr>
          <w:rFonts w:ascii="Times New Roman" w:eastAsia="Times" w:hAnsi="Times New Roman" w:cs="Times"/>
          <w:color w:val="000000" w:themeColor="text1"/>
          <w:sz w:val="24"/>
        </w:rPr>
        <w:t xml:space="preserve">Most troubling to the district court and to us is </w:t>
      </w:r>
      <w:proofErr w:type="spellStart"/>
      <w:r w:rsidRPr="00C068D7">
        <w:rPr>
          <w:rFonts w:ascii="Times New Roman" w:eastAsia="Times" w:hAnsi="Times New Roman" w:cs="Times"/>
          <w:color w:val="000000" w:themeColor="text1"/>
          <w:sz w:val="24"/>
        </w:rPr>
        <w:t>Wolkoff's</w:t>
      </w:r>
      <w:proofErr w:type="spellEnd"/>
      <w:r w:rsidRPr="00C068D7">
        <w:rPr>
          <w:rFonts w:ascii="Times New Roman" w:eastAsia="Times" w:hAnsi="Times New Roman" w:cs="Times"/>
          <w:color w:val="000000" w:themeColor="text1"/>
          <w:sz w:val="24"/>
        </w:rPr>
        <w:t xml:space="preserve"> decision to whitewash the artwork at all. Nothing in the record indicates that it was necessary to whitewash the artwork before beginning construction of the apartments.</w:t>
      </w:r>
      <w:r w:rsidRPr="00C068D7">
        <w:rPr>
          <w:rFonts w:ascii="Times New Roman" w:eastAsia="Times" w:hAnsi="Times New Roman" w:cs="Times"/>
          <w:b/>
          <w:color w:val="000000" w:themeColor="text1"/>
          <w:sz w:val="24"/>
        </w:rPr>
        <w:t> </w:t>
      </w:r>
      <w:r w:rsidR="00E66E5C" w:rsidRPr="00C068D7">
        <w:rPr>
          <w:rFonts w:ascii="Times New Roman" w:eastAsia="Times" w:hAnsi="Times New Roman" w:cs="Times"/>
          <w:b/>
          <w:color w:val="000000" w:themeColor="text1"/>
          <w:sz w:val="24"/>
        </w:rPr>
        <w:t xml:space="preserve"> </w:t>
      </w:r>
      <w:r w:rsidRPr="00C068D7">
        <w:rPr>
          <w:rFonts w:ascii="Times New Roman" w:eastAsia="Times" w:hAnsi="Times New Roman" w:cs="Times"/>
          <w:color w:val="000000" w:themeColor="text1"/>
          <w:sz w:val="24"/>
        </w:rPr>
        <w:t xml:space="preserve">The district court found that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could have allowed the artwork to remain visible until demolition began, giving the artists time to photograph or to recover their work. Instead, he destroyed the work immediately after the district court denied the preliminary injunction and before the district court could finalize its promised written opinion.</w:t>
      </w:r>
    </w:p>
    <w:p w14:paraId="37F18435" w14:textId="77777777"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114" w:name="Bookmark_para_46"/>
      <w:bookmarkEnd w:id="114"/>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testified that he whitewashed the work to prevent the artists from illegally salvaging their work. However, he offered no basis for this belief and, to the contrary, testified that the artists had always behaved lawfully. </w:t>
      </w:r>
      <w:r w:rsidRPr="00C068D7">
        <w:rPr>
          <w:rFonts w:ascii="Times New Roman" w:eastAsia="Times" w:hAnsi="Times New Roman" w:cs="Times"/>
          <w:color w:val="000000" w:themeColor="text1"/>
          <w:sz w:val="24"/>
        </w:rPr>
        <w:lastRenderedPageBreak/>
        <w:t xml:space="preserve">The district court was entitled to conclude, based on this record, that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acted willfully and was liable for enhanced statutory damages.</w:t>
      </w:r>
    </w:p>
    <w:p w14:paraId="4769B6ED" w14:textId="77777777" w:rsidR="00382C50" w:rsidRPr="00C068D7" w:rsidRDefault="00382C50" w:rsidP="00820FEE">
      <w:pPr>
        <w:pStyle w:val="ListParagraph"/>
        <w:widowControl/>
        <w:numPr>
          <w:ilvl w:val="0"/>
          <w:numId w:val="1"/>
        </w:numPr>
        <w:autoSpaceDE/>
        <w:autoSpaceDN/>
        <w:adjustRightInd/>
        <w:snapToGrid w:val="0"/>
        <w:spacing w:after="240"/>
        <w:ind w:left="3600" w:hanging="3600"/>
        <w:contextualSpacing w:val="0"/>
        <w:jc w:val="both"/>
        <w:rPr>
          <w:rFonts w:ascii="Times New Roman" w:hAnsi="Times New Roman"/>
          <w:color w:val="000000" w:themeColor="text1"/>
          <w:sz w:val="24"/>
        </w:rPr>
      </w:pPr>
      <w:r w:rsidRPr="00C068D7">
        <w:rPr>
          <w:rFonts w:ascii="Times New Roman" w:eastAsia="Times" w:hAnsi="Times New Roman" w:cs="Times"/>
          <w:color w:val="000000" w:themeColor="text1"/>
          <w:sz w:val="24"/>
        </w:rPr>
        <w:t>VI.</w:t>
      </w:r>
    </w:p>
    <w:p w14:paraId="3D9B7B7D" w14:textId="65C363A4"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115" w:name="Bookmark_para_47"/>
      <w:bookmarkStart w:id="116" w:name="Bookmark_I5Y90KSC2SF8T80030000400"/>
      <w:bookmarkEnd w:id="115"/>
      <w:bookmarkEnd w:id="116"/>
      <w:r w:rsidRPr="00C068D7">
        <w:rPr>
          <w:rFonts w:ascii="Times New Roman" w:eastAsia="Times" w:hAnsi="Times New Roman" w:cs="Times"/>
          <w:color w:val="000000" w:themeColor="text1"/>
          <w:sz w:val="24"/>
        </w:rPr>
        <w:t xml:space="preserve">Finally, we address </w:t>
      </w:r>
      <w:proofErr w:type="spellStart"/>
      <w:r w:rsidRPr="00C068D7">
        <w:rPr>
          <w:rFonts w:ascii="Times New Roman" w:eastAsia="Times" w:hAnsi="Times New Roman" w:cs="Times"/>
          <w:color w:val="000000" w:themeColor="text1"/>
          <w:sz w:val="24"/>
        </w:rPr>
        <w:t>Wolkoff's</w:t>
      </w:r>
      <w:proofErr w:type="spellEnd"/>
      <w:r w:rsidRPr="00C068D7">
        <w:rPr>
          <w:rFonts w:ascii="Times New Roman" w:eastAsia="Times" w:hAnsi="Times New Roman" w:cs="Times"/>
          <w:color w:val="000000" w:themeColor="text1"/>
          <w:sz w:val="24"/>
        </w:rPr>
        <w:t xml:space="preserve"> challenge to the amount of the statutory damages awarded—$6,750,000—the maximum amount allowed. </w:t>
      </w:r>
      <w:bookmarkStart w:id="117" w:name="Bookmark_LNHNREFclscc22"/>
      <w:bookmarkEnd w:id="117"/>
      <w:r w:rsidRPr="00C068D7">
        <w:rPr>
          <w:rFonts w:ascii="Times New Roman" w:eastAsia="Times" w:hAnsi="Times New Roman" w:cs="Times"/>
          <w:color w:val="000000" w:themeColor="text1"/>
          <w:sz w:val="24"/>
        </w:rPr>
        <w:t xml:space="preserve">District courts enjoy wide discretion in setting statutory damages. </w:t>
      </w:r>
      <w:bookmarkStart w:id="118" w:name="Bookmark_I5Y90KSC2SF8T80020000400"/>
      <w:bookmarkEnd w:id="118"/>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"https://plus.lexis.com/api/document?collection=cases&amp;id=urn:contentItem:7YB9-C6C1-652R-01M7-00000-00&amp;context=1530671" </w:instrText>
      </w:r>
      <w:r w:rsidRPr="00C068D7">
        <w:rPr>
          <w:rFonts w:ascii="Times New Roman" w:hAnsi="Times New Roman"/>
          <w:color w:val="000000" w:themeColor="text1"/>
          <w:sz w:val="24"/>
        </w:rPr>
        <w:fldChar w:fldCharType="separate"/>
      </w:r>
      <w:r w:rsidRPr="00C068D7">
        <w:rPr>
          <w:rFonts w:ascii="Times New Roman" w:eastAsia="Times" w:hAnsi="Times New Roman" w:cs="Times"/>
          <w:i/>
          <w:color w:val="000000" w:themeColor="text1"/>
          <w:sz w:val="24"/>
          <w:u w:val="single"/>
          <w:shd w:val="clear" w:color="auto" w:fill="FFFFFF"/>
        </w:rPr>
        <w:t>Bryant</w:t>
      </w:r>
      <w:r w:rsidRPr="00C068D7">
        <w:rPr>
          <w:rFonts w:ascii="Times New Roman" w:eastAsia="Times" w:hAnsi="Times New Roman" w:cs="Times"/>
          <w:i/>
          <w:color w:val="000000" w:themeColor="text1"/>
          <w:sz w:val="24"/>
          <w:u w:val="single"/>
          <w:shd w:val="clear" w:color="auto" w:fill="FFFFFF"/>
        </w:rPr>
        <w:fldChar w:fldCharType="end"/>
      </w:r>
      <w:hyperlink r:id="rId65" w:history="1">
        <w:r w:rsidRPr="00C068D7">
          <w:rPr>
            <w:rFonts w:ascii="Times New Roman" w:eastAsia="Times" w:hAnsi="Times New Roman" w:cs="Times"/>
            <w:color w:val="000000" w:themeColor="text1"/>
            <w:sz w:val="24"/>
            <w:u w:val="single"/>
            <w:shd w:val="clear" w:color="auto" w:fill="FFFFFF"/>
          </w:rPr>
          <w:t>, 603 F.3d at 143</w:t>
        </w:r>
      </w:hyperlink>
      <w:r w:rsidRPr="00C068D7">
        <w:rPr>
          <w:rFonts w:ascii="Times New Roman" w:eastAsia="Times" w:hAnsi="Times New Roman" w:cs="Times"/>
          <w:color w:val="000000" w:themeColor="text1"/>
          <w:sz w:val="24"/>
        </w:rPr>
        <w:t xml:space="preserve">. </w:t>
      </w:r>
      <w:bookmarkStart w:id="119" w:name="Bookmark_I5Y90KSC2SF8T80050000400"/>
      <w:bookmarkEnd w:id="119"/>
      <w:r w:rsidRPr="00C068D7">
        <w:rPr>
          <w:rFonts w:ascii="Times New Roman" w:eastAsia="Times" w:hAnsi="Times New Roman" w:cs="Times"/>
          <w:color w:val="000000" w:themeColor="text1"/>
          <w:sz w:val="24"/>
        </w:rPr>
        <w:t xml:space="preserve">We review the award of those damages for abuse of discretion. </w:t>
      </w:r>
      <w:r w:rsidRPr="00C068D7">
        <w:rPr>
          <w:rFonts w:ascii="Times New Roman" w:eastAsia="Times" w:hAnsi="Times New Roman" w:cs="Times"/>
          <w:i/>
          <w:color w:val="000000" w:themeColor="text1"/>
          <w:sz w:val="24"/>
        </w:rPr>
        <w:t>Id.</w:t>
      </w:r>
      <w:r w:rsidRPr="00C068D7">
        <w:rPr>
          <w:rFonts w:ascii="Times New Roman" w:eastAsia="Times" w:hAnsi="Times New Roman" w:cs="Times"/>
          <w:color w:val="000000" w:themeColor="text1"/>
          <w:sz w:val="24"/>
        </w:rPr>
        <w:t xml:space="preserve"> To find an abuse of discretion, we must be convinced that the district court based its decision on an error of law, applied the incorrect legal standard, made a clearly erroneous factual finding, or reached a conclusion that cannot be located within the range of permissible decisions. </w:t>
      </w:r>
      <w:bookmarkStart w:id="120" w:name="Bookmark_I5Y90KSC2SF8T80040000400"/>
      <w:bookmarkEnd w:id="120"/>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"https://plus.lexis.com/api/document?collection=cases&amp;id=urn:contentItem:5RGS-CFB1-FD4T-B3SB-00000-00&amp;context=1530671" </w:instrText>
      </w:r>
      <w:r w:rsidRPr="00C068D7">
        <w:rPr>
          <w:rFonts w:ascii="Times New Roman" w:hAnsi="Times New Roman"/>
          <w:color w:val="000000" w:themeColor="text1"/>
          <w:sz w:val="24"/>
        </w:rPr>
        <w:fldChar w:fldCharType="separate"/>
      </w:r>
      <w:r w:rsidRPr="00C068D7">
        <w:rPr>
          <w:rFonts w:ascii="Times New Roman" w:eastAsia="Times" w:hAnsi="Times New Roman" w:cs="Times"/>
          <w:i/>
          <w:color w:val="000000" w:themeColor="text1"/>
          <w:sz w:val="24"/>
          <w:u w:val="single"/>
          <w:shd w:val="clear" w:color="auto" w:fill="FFFFFF"/>
        </w:rPr>
        <w:t>Klipsch Grp., Inc. v. ePRO E-Commerce Ltd.</w:t>
      </w:r>
      <w:r w:rsidRPr="00C068D7">
        <w:rPr>
          <w:rFonts w:ascii="Times New Roman" w:eastAsia="Times" w:hAnsi="Times New Roman" w:cs="Times"/>
          <w:i/>
          <w:color w:val="000000" w:themeColor="text1"/>
          <w:sz w:val="24"/>
          <w:u w:val="single"/>
          <w:shd w:val="clear" w:color="auto" w:fill="FFFFFF"/>
        </w:rPr>
        <w:fldChar w:fldCharType="end"/>
      </w:r>
      <w:hyperlink r:id="rId66" w:history="1">
        <w:r w:rsidRPr="00C068D7">
          <w:rPr>
            <w:rFonts w:ascii="Times New Roman" w:eastAsia="Times" w:hAnsi="Times New Roman" w:cs="Times"/>
            <w:color w:val="000000" w:themeColor="text1"/>
            <w:sz w:val="24"/>
            <w:u w:val="single"/>
            <w:shd w:val="clear" w:color="auto" w:fill="FFFFFF"/>
          </w:rPr>
          <w:t>, 880 F.3d 620, 627 (2d Cir. 2018)</w:t>
        </w:r>
      </w:hyperlink>
      <w:r w:rsidRPr="00C068D7">
        <w:rPr>
          <w:rFonts w:ascii="Times New Roman" w:eastAsia="Times" w:hAnsi="Times New Roman" w:cs="Times"/>
          <w:color w:val="000000" w:themeColor="text1"/>
          <w:sz w:val="24"/>
        </w:rPr>
        <w:t>. We see no abuse here.</w:t>
      </w:r>
    </w:p>
    <w:p w14:paraId="10DD38A3" w14:textId="4AAD3846"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121" w:name="Bookmark_para_48"/>
      <w:bookmarkStart w:id="122" w:name="Bookmark_I5Y90KSD28T49P0020000400"/>
      <w:bookmarkStart w:id="123" w:name="Bookmark_LNHNREFclscc23"/>
      <w:bookmarkEnd w:id="121"/>
      <w:bookmarkEnd w:id="122"/>
      <w:bookmarkEnd w:id="123"/>
      <w:r w:rsidRPr="00C068D7">
        <w:rPr>
          <w:rFonts w:ascii="Times New Roman" w:eastAsia="Times" w:hAnsi="Times New Roman" w:cs="Times"/>
          <w:color w:val="000000" w:themeColor="text1"/>
          <w:sz w:val="24"/>
        </w:rPr>
        <w:t>The district court carefully considered the six factors relevant to a determination of statutory damages and concluded that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rings the bell on each relevant factor." S. </w:t>
      </w:r>
      <w:proofErr w:type="spellStart"/>
      <w:r w:rsidRPr="00C068D7">
        <w:rPr>
          <w:rFonts w:ascii="Times New Roman" w:eastAsia="Times" w:hAnsi="Times New Roman" w:cs="Times"/>
          <w:color w:val="000000" w:themeColor="text1"/>
          <w:sz w:val="24"/>
        </w:rPr>
        <w:t>App'x</w:t>
      </w:r>
      <w:proofErr w:type="spellEnd"/>
      <w:r w:rsidRPr="00C068D7">
        <w:rPr>
          <w:rFonts w:ascii="Times New Roman" w:eastAsia="Times" w:hAnsi="Times New Roman" w:cs="Times"/>
          <w:color w:val="000000" w:themeColor="text1"/>
          <w:sz w:val="24"/>
        </w:rPr>
        <w:t xml:space="preserve"> at 45. Those six, drawn from copyright law, are "(1) the infringer's state of mind; (2) the expenses saved, and profits earned, by the infringer; (3) the revenue lost by the copyright holder; (4) the deterrent effect on the infringer and third parties; (5) the infringer's cooperation in providing evidence concerning the value of the infringing material; and (6) the conduct and attitude of the parties." </w:t>
      </w:r>
      <w:bookmarkStart w:id="124" w:name="Bookmark_I5Y90KSD28T49P0010000400"/>
      <w:bookmarkEnd w:id="124"/>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"https://plus.lexis.com/api/document?collection=cases&amp;id=urn:contentItem:7YB9-C6C1-652R-01M7-00000-00&amp;context=1530671" </w:instrText>
      </w:r>
      <w:r w:rsidRPr="00C068D7">
        <w:rPr>
          <w:rFonts w:ascii="Times New Roman" w:hAnsi="Times New Roman"/>
          <w:color w:val="000000" w:themeColor="text1"/>
          <w:sz w:val="24"/>
        </w:rPr>
        <w:fldChar w:fldCharType="separate"/>
      </w:r>
      <w:r w:rsidRPr="00C068D7">
        <w:rPr>
          <w:rFonts w:ascii="Times New Roman" w:eastAsia="Times" w:hAnsi="Times New Roman" w:cs="Times"/>
          <w:i/>
          <w:color w:val="000000" w:themeColor="text1"/>
          <w:sz w:val="24"/>
          <w:u w:val="single"/>
          <w:shd w:val="clear" w:color="auto" w:fill="FFFFFF"/>
        </w:rPr>
        <w:t>Bryant</w:t>
      </w:r>
      <w:r w:rsidRPr="00C068D7">
        <w:rPr>
          <w:rFonts w:ascii="Times New Roman" w:eastAsia="Times" w:hAnsi="Times New Roman" w:cs="Times"/>
          <w:i/>
          <w:color w:val="000000" w:themeColor="text1"/>
          <w:sz w:val="24"/>
          <w:u w:val="single"/>
          <w:shd w:val="clear" w:color="auto" w:fill="FFFFFF"/>
        </w:rPr>
        <w:fldChar w:fldCharType="end"/>
      </w:r>
      <w:hyperlink r:id="rId67" w:history="1">
        <w:r w:rsidRPr="00C068D7">
          <w:rPr>
            <w:rFonts w:ascii="Times New Roman" w:eastAsia="Times" w:hAnsi="Times New Roman" w:cs="Times"/>
            <w:color w:val="000000" w:themeColor="text1"/>
            <w:sz w:val="24"/>
            <w:u w:val="single"/>
            <w:shd w:val="clear" w:color="auto" w:fill="FFFFFF"/>
          </w:rPr>
          <w:t>, 603 F.3d at 144</w:t>
        </w:r>
      </w:hyperlink>
      <w:r w:rsidRPr="00C068D7">
        <w:rPr>
          <w:rFonts w:ascii="Times New Roman" w:eastAsia="Times" w:hAnsi="Times New Roman" w:cs="Times"/>
          <w:color w:val="000000" w:themeColor="text1"/>
          <w:sz w:val="24"/>
        </w:rPr>
        <w:t>.</w:t>
      </w:r>
    </w:p>
    <w:p w14:paraId="11D290F8" w14:textId="2EBD302E"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125" w:name="Bookmark_para_49"/>
      <w:bookmarkEnd w:id="125"/>
      <w:r w:rsidRPr="00C068D7">
        <w:rPr>
          <w:rFonts w:ascii="Times New Roman" w:eastAsia="Times" w:hAnsi="Times New Roman" w:cs="Times"/>
          <w:color w:val="000000" w:themeColor="text1"/>
          <w:sz w:val="24"/>
        </w:rPr>
        <w:t xml:space="preserve">First, </w:t>
      </w:r>
      <w:proofErr w:type="spellStart"/>
      <w:r w:rsidRPr="00C068D7">
        <w:rPr>
          <w:rFonts w:ascii="Times New Roman" w:eastAsia="Times" w:hAnsi="Times New Roman" w:cs="Times"/>
          <w:color w:val="000000" w:themeColor="text1"/>
          <w:sz w:val="24"/>
        </w:rPr>
        <w:t>Wolkoff's</w:t>
      </w:r>
      <w:proofErr w:type="spellEnd"/>
      <w:r w:rsidRPr="00C068D7">
        <w:rPr>
          <w:rFonts w:ascii="Times New Roman" w:eastAsia="Times" w:hAnsi="Times New Roman" w:cs="Times"/>
          <w:color w:val="000000" w:themeColor="text1"/>
          <w:sz w:val="24"/>
        </w:rPr>
        <w:t xml:space="preserve"> state of mind is documented in the district court's extensive finding on willfulness, which we see no reason to disturb. In other respects, this factor cuts in the artists' favor. As the district court properly found,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a sophisticated real estate developer, was "willing to run the risk of being held liable for substantial statutory damages rather than to jeopardize his </w:t>
      </w:r>
      <w:proofErr w:type="gramStart"/>
      <w:r w:rsidRPr="00C068D7">
        <w:rPr>
          <w:rFonts w:ascii="Times New Roman" w:eastAsia="Times" w:hAnsi="Times New Roman" w:cs="Times"/>
          <w:color w:val="000000" w:themeColor="text1"/>
          <w:sz w:val="24"/>
        </w:rPr>
        <w:t>multimillion dollar</w:t>
      </w:r>
      <w:proofErr w:type="gramEnd"/>
      <w:r w:rsidRPr="00C068D7">
        <w:rPr>
          <w:rFonts w:ascii="Times New Roman" w:eastAsia="Times" w:hAnsi="Times New Roman" w:cs="Times"/>
          <w:color w:val="000000" w:themeColor="text1"/>
          <w:sz w:val="24"/>
        </w:rPr>
        <w:t xml:space="preserve"> luxury condo project." S. </w:t>
      </w:r>
      <w:proofErr w:type="spellStart"/>
      <w:r w:rsidRPr="00C068D7">
        <w:rPr>
          <w:rFonts w:ascii="Times New Roman" w:eastAsia="Times" w:hAnsi="Times New Roman" w:cs="Times"/>
          <w:color w:val="000000" w:themeColor="text1"/>
          <w:sz w:val="24"/>
        </w:rPr>
        <w:t>App'x</w:t>
      </w:r>
      <w:proofErr w:type="spellEnd"/>
      <w:r w:rsidRPr="00C068D7">
        <w:rPr>
          <w:rFonts w:ascii="Times New Roman" w:eastAsia="Times" w:hAnsi="Times New Roman" w:cs="Times"/>
          <w:color w:val="000000" w:themeColor="text1"/>
          <w:sz w:val="24"/>
        </w:rPr>
        <w:t xml:space="preserve"> at 45 n.20. Moreover,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whitewashed the artworks without any genuine business need to do so. It was simply, as the district court found, an "act of pure pique and revenge" toward the artists who had sued him. S. </w:t>
      </w:r>
      <w:proofErr w:type="spellStart"/>
      <w:r w:rsidRPr="00C068D7">
        <w:rPr>
          <w:rFonts w:ascii="Times New Roman" w:eastAsia="Times" w:hAnsi="Times New Roman" w:cs="Times"/>
          <w:color w:val="000000" w:themeColor="text1"/>
          <w:sz w:val="24"/>
        </w:rPr>
        <w:t>App'x</w:t>
      </w:r>
      <w:proofErr w:type="spellEnd"/>
      <w:r w:rsidRPr="00C068D7">
        <w:rPr>
          <w:rFonts w:ascii="Times New Roman" w:eastAsia="Times" w:hAnsi="Times New Roman" w:cs="Times"/>
          <w:color w:val="000000" w:themeColor="text1"/>
          <w:sz w:val="24"/>
        </w:rPr>
        <w:t xml:space="preserve"> at 44. As the district court also found,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set out in the dark of night, using the cheapest paint available, standing behind his </w:t>
      </w:r>
      <w:proofErr w:type="gramStart"/>
      <w:r w:rsidRPr="00C068D7">
        <w:rPr>
          <w:rFonts w:ascii="Times New Roman" w:eastAsia="Times" w:hAnsi="Times New Roman" w:cs="Times"/>
          <w:color w:val="000000" w:themeColor="text1"/>
          <w:sz w:val="24"/>
        </w:rPr>
        <w:t>workers</w:t>
      </w:r>
      <w:proofErr w:type="gramEnd"/>
      <w:r w:rsidRPr="00C068D7">
        <w:rPr>
          <w:rFonts w:ascii="Times New Roman" w:eastAsia="Times" w:hAnsi="Times New Roman" w:cs="Times"/>
          <w:color w:val="000000" w:themeColor="text1"/>
          <w:sz w:val="24"/>
        </w:rPr>
        <w:t xml:space="preserve"> and urging them to "keep painting" and "paint everything." J. </w:t>
      </w:r>
      <w:proofErr w:type="spellStart"/>
      <w:r w:rsidRPr="00C068D7">
        <w:rPr>
          <w:rFonts w:ascii="Times New Roman" w:eastAsia="Times" w:hAnsi="Times New Roman" w:cs="Times"/>
          <w:color w:val="000000" w:themeColor="text1"/>
          <w:sz w:val="24"/>
        </w:rPr>
        <w:t>App'x</w:t>
      </w:r>
      <w:proofErr w:type="spellEnd"/>
      <w:r w:rsidRPr="00C068D7">
        <w:rPr>
          <w:rFonts w:ascii="Times New Roman" w:eastAsia="Times" w:hAnsi="Times New Roman" w:cs="Times"/>
          <w:color w:val="000000" w:themeColor="text1"/>
          <w:sz w:val="24"/>
        </w:rPr>
        <w:t xml:space="preserve"> at 2423. The whitewashing did not end the conflict in a single evening. The effects lingered for almost a year. The district court noted that the sloppy, half-hearted nature of the whitewashing left the works easily visible under layers of cheap white paint, reminding the artists </w:t>
      </w:r>
      <w:proofErr w:type="gramStart"/>
      <w:r w:rsidRPr="00C068D7">
        <w:rPr>
          <w:rFonts w:ascii="Times New Roman" w:eastAsia="Times" w:hAnsi="Times New Roman" w:cs="Times"/>
          <w:color w:val="000000" w:themeColor="text1"/>
          <w:sz w:val="24"/>
        </w:rPr>
        <w:t>on a daily basis</w:t>
      </w:r>
      <w:proofErr w:type="gramEnd"/>
      <w:r w:rsidRPr="00C068D7">
        <w:rPr>
          <w:rFonts w:ascii="Times New Roman" w:eastAsia="Times" w:hAnsi="Times New Roman" w:cs="Times"/>
          <w:color w:val="000000" w:themeColor="text1"/>
          <w:sz w:val="24"/>
        </w:rPr>
        <w:t xml:space="preserve"> of what had happened to them. Moreover, the mutilated artworks were visible to millions of people passing the site on the subway.</w:t>
      </w:r>
    </w:p>
    <w:p w14:paraId="56104612" w14:textId="56FC6D89"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126" w:name="Bookmark_para_50"/>
      <w:bookmarkEnd w:id="126"/>
      <w:r w:rsidRPr="00C068D7">
        <w:rPr>
          <w:rFonts w:ascii="Times New Roman" w:eastAsia="Times" w:hAnsi="Times New Roman" w:cs="Times"/>
          <w:color w:val="000000" w:themeColor="text1"/>
          <w:sz w:val="24"/>
        </w:rPr>
        <w:lastRenderedPageBreak/>
        <w:t xml:space="preserve">The lost revenue prong is not as straightforward but nonetheless also tips toward the artists. </w:t>
      </w:r>
      <w:bookmarkStart w:id="127" w:name="Bookmark_I5Y90KSD28T49P0040000400"/>
      <w:bookmarkEnd w:id="127"/>
      <w:r w:rsidRPr="00C068D7">
        <w:rPr>
          <w:rFonts w:ascii="Times New Roman" w:eastAsia="Times" w:hAnsi="Times New Roman" w:cs="Times"/>
          <w:color w:val="000000" w:themeColor="text1"/>
          <w:sz w:val="24"/>
        </w:rPr>
        <w:t xml:space="preserve">The district court declined to award actual damages, which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takes to mean that the artists suffered no loss in revenue. However, as the district court said, this decision was based on the difficulty of quantifying Appellees' loss, not on the absence of any loss. </w:t>
      </w:r>
      <w:bookmarkStart w:id="128" w:name="Bookmark_LNHNREFclscc24"/>
      <w:bookmarkEnd w:id="128"/>
      <w:r w:rsidRPr="00C068D7">
        <w:rPr>
          <w:rFonts w:ascii="Times New Roman" w:eastAsia="Times" w:hAnsi="Times New Roman" w:cs="Times"/>
          <w:color w:val="000000" w:themeColor="text1"/>
          <w:sz w:val="24"/>
        </w:rPr>
        <w:t xml:space="preserve">Unlike actual damages, statutory damages do not require the precise monetary quantification of injury. </w:t>
      </w:r>
      <w:r w:rsidRPr="00C068D7">
        <w:rPr>
          <w:rFonts w:ascii="Times New Roman" w:eastAsia="Times" w:hAnsi="Times New Roman" w:cs="Times"/>
          <w:i/>
          <w:color w:val="000000" w:themeColor="text1"/>
          <w:sz w:val="24"/>
        </w:rPr>
        <w:t xml:space="preserve">See, e.g., </w:t>
      </w:r>
      <w:bookmarkStart w:id="129" w:name="Bookmark_I5Y90KSD28T49P0030000400"/>
      <w:bookmarkEnd w:id="129"/>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"https://plus.lexis.com/api/document?collection=cases&amp;id=urn:contentItem:42RF-GNG0-0038-X2SW-00000-00&amp;context=1530671" </w:instrText>
      </w:r>
      <w:r w:rsidRPr="00C068D7">
        <w:rPr>
          <w:rFonts w:ascii="Times New Roman" w:hAnsi="Times New Roman"/>
          <w:color w:val="000000" w:themeColor="text1"/>
          <w:sz w:val="24"/>
        </w:rPr>
        <w:fldChar w:fldCharType="separate"/>
      </w:r>
      <w:r w:rsidRPr="00C068D7">
        <w:rPr>
          <w:rFonts w:ascii="Times New Roman" w:eastAsia="Times" w:hAnsi="Times New Roman" w:cs="Times"/>
          <w:i/>
          <w:color w:val="000000" w:themeColor="text1"/>
          <w:sz w:val="24"/>
          <w:u w:val="single"/>
          <w:shd w:val="clear" w:color="auto" w:fill="FFFFFF"/>
        </w:rPr>
        <w:t>Davis v. The Gap, Inc.</w:t>
      </w:r>
      <w:r w:rsidRPr="00C068D7">
        <w:rPr>
          <w:rFonts w:ascii="Times New Roman" w:eastAsia="Times" w:hAnsi="Times New Roman" w:cs="Times"/>
          <w:i/>
          <w:color w:val="000000" w:themeColor="text1"/>
          <w:sz w:val="24"/>
          <w:u w:val="single"/>
          <w:shd w:val="clear" w:color="auto" w:fill="FFFFFF"/>
        </w:rPr>
        <w:fldChar w:fldCharType="end"/>
      </w:r>
      <w:hyperlink r:id="rId68" w:history="1">
        <w:r w:rsidRPr="00C068D7">
          <w:rPr>
            <w:rFonts w:ascii="Times New Roman" w:eastAsia="Times" w:hAnsi="Times New Roman" w:cs="Times"/>
            <w:color w:val="000000" w:themeColor="text1"/>
            <w:sz w:val="24"/>
            <w:u w:val="single"/>
            <w:shd w:val="clear" w:color="auto" w:fill="FFFFFF"/>
          </w:rPr>
          <w:t>, 246 F.3d 152, 170 (2d Cir. 2001)</w:t>
        </w:r>
      </w:hyperlink>
      <w:r w:rsidRPr="00C068D7">
        <w:rPr>
          <w:rFonts w:ascii="Times New Roman" w:eastAsia="Times" w:hAnsi="Times New Roman" w:cs="Times"/>
          <w:color w:val="000000" w:themeColor="text1"/>
          <w:sz w:val="24"/>
        </w:rPr>
        <w:t xml:space="preserve">; </w:t>
      </w:r>
      <w:bookmarkStart w:id="130" w:name="Bookmark_I5Y90KSD28T49P0050000400"/>
      <w:bookmarkEnd w:id="130"/>
      <w:r w:rsidRPr="00C068D7">
        <w:rPr>
          <w:rFonts w:ascii="Times New Roman" w:hAnsi="Times New Roman"/>
          <w:color w:val="000000" w:themeColor="text1"/>
          <w:sz w:val="24"/>
        </w:rPr>
        <w:fldChar w:fldCharType="begin"/>
      </w:r>
      <w:r w:rsidRPr="00C068D7">
        <w:rPr>
          <w:rFonts w:ascii="Times New Roman" w:hAnsi="Times New Roman"/>
          <w:color w:val="000000" w:themeColor="text1"/>
          <w:sz w:val="24"/>
        </w:rPr>
        <w:instrText xml:space="preserve"> HYPERLINK "https://plus.lexis.com/api/document?collection=cases&amp;id=urn:contentItem:3S4X-BHN0-003B-52B8-00000-00&amp;context=1530671" </w:instrText>
      </w:r>
      <w:r w:rsidRPr="00C068D7">
        <w:rPr>
          <w:rFonts w:ascii="Times New Roman" w:hAnsi="Times New Roman"/>
          <w:color w:val="000000" w:themeColor="text1"/>
          <w:sz w:val="24"/>
        </w:rPr>
        <w:fldChar w:fldCharType="separate"/>
      </w:r>
      <w:r w:rsidRPr="00C068D7">
        <w:rPr>
          <w:rFonts w:ascii="Times New Roman" w:eastAsia="Times" w:hAnsi="Times New Roman" w:cs="Times"/>
          <w:i/>
          <w:color w:val="000000" w:themeColor="text1"/>
          <w:sz w:val="24"/>
          <w:u w:val="single"/>
          <w:shd w:val="clear" w:color="auto" w:fill="FFFFFF"/>
        </w:rPr>
        <w:t xml:space="preserve">Warner Bros. Inc. v. </w:t>
      </w:r>
      <w:proofErr w:type="spellStart"/>
      <w:r w:rsidRPr="00C068D7">
        <w:rPr>
          <w:rFonts w:ascii="Times New Roman" w:eastAsia="Times" w:hAnsi="Times New Roman" w:cs="Times"/>
          <w:i/>
          <w:color w:val="000000" w:themeColor="text1"/>
          <w:sz w:val="24"/>
          <w:u w:val="single"/>
          <w:shd w:val="clear" w:color="auto" w:fill="FFFFFF"/>
        </w:rPr>
        <w:t>Dae</w:t>
      </w:r>
      <w:proofErr w:type="spellEnd"/>
      <w:r w:rsidRPr="00C068D7">
        <w:rPr>
          <w:rFonts w:ascii="Times New Roman" w:eastAsia="Times" w:hAnsi="Times New Roman" w:cs="Times"/>
          <w:i/>
          <w:color w:val="000000" w:themeColor="text1"/>
          <w:sz w:val="24"/>
          <w:u w:val="single"/>
          <w:shd w:val="clear" w:color="auto" w:fill="FFFFFF"/>
        </w:rPr>
        <w:t xml:space="preserve"> Rim Trading, Inc.</w:t>
      </w:r>
      <w:r w:rsidRPr="00C068D7">
        <w:rPr>
          <w:rFonts w:ascii="Times New Roman" w:eastAsia="Times" w:hAnsi="Times New Roman" w:cs="Times"/>
          <w:i/>
          <w:color w:val="000000" w:themeColor="text1"/>
          <w:sz w:val="24"/>
          <w:u w:val="single"/>
          <w:shd w:val="clear" w:color="auto" w:fill="FFFFFF"/>
        </w:rPr>
        <w:fldChar w:fldCharType="end"/>
      </w:r>
      <w:hyperlink r:id="rId69" w:history="1">
        <w:r w:rsidRPr="00C068D7">
          <w:rPr>
            <w:rFonts w:ascii="Times New Roman" w:eastAsia="Times" w:hAnsi="Times New Roman" w:cs="Times"/>
            <w:color w:val="000000" w:themeColor="text1"/>
            <w:sz w:val="24"/>
            <w:u w:val="single"/>
            <w:shd w:val="clear" w:color="auto" w:fill="FFFFFF"/>
          </w:rPr>
          <w:t>, 877 F.2d 1120, 1126 (2d Cir. 1989)</w:t>
        </w:r>
      </w:hyperlink>
      <w:r w:rsidRPr="00C068D7">
        <w:rPr>
          <w:rFonts w:ascii="Times New Roman" w:eastAsia="Times" w:hAnsi="Times New Roman" w:cs="Times"/>
          <w:color w:val="000000" w:themeColor="text1"/>
          <w:sz w:val="24"/>
        </w:rPr>
        <w:t>. Consequently, the district court was within its discretion in determining that Appellees' loss was significant, for purposes of statutory damages, but not compensable through actual damages. As the district court expressly recognized, "[t]</w:t>
      </w:r>
      <w:proofErr w:type="gramStart"/>
      <w:r w:rsidRPr="00C068D7">
        <w:rPr>
          <w:rFonts w:ascii="Times New Roman" w:eastAsia="Times" w:hAnsi="Times New Roman" w:cs="Times"/>
          <w:color w:val="000000" w:themeColor="text1"/>
          <w:sz w:val="24"/>
        </w:rPr>
        <w:t>he</w:t>
      </w:r>
      <w:proofErr w:type="gramEnd"/>
      <w:r w:rsidRPr="00C068D7">
        <w:rPr>
          <w:rFonts w:ascii="Times New Roman" w:eastAsia="Times" w:hAnsi="Times New Roman" w:cs="Times"/>
          <w:color w:val="000000" w:themeColor="text1"/>
          <w:sz w:val="24"/>
        </w:rPr>
        <w:t xml:space="preserve"> value of 5Pointz to the artists' careers was significant, and its loss, though difficult to quantify, precluded future opportunities and acclaim." S. </w:t>
      </w:r>
      <w:proofErr w:type="spellStart"/>
      <w:r w:rsidRPr="00C068D7">
        <w:rPr>
          <w:rFonts w:ascii="Times New Roman" w:eastAsia="Times" w:hAnsi="Times New Roman" w:cs="Times"/>
          <w:color w:val="000000" w:themeColor="text1"/>
          <w:sz w:val="24"/>
        </w:rPr>
        <w:t>App'x</w:t>
      </w:r>
      <w:proofErr w:type="spellEnd"/>
      <w:r w:rsidRPr="00C068D7">
        <w:rPr>
          <w:rFonts w:ascii="Times New Roman" w:eastAsia="Times" w:hAnsi="Times New Roman" w:cs="Times"/>
          <w:color w:val="000000" w:themeColor="text1"/>
          <w:sz w:val="24"/>
        </w:rPr>
        <w:t xml:space="preserve"> at 48.</w:t>
      </w:r>
    </w:p>
    <w:p w14:paraId="495D016C" w14:textId="77777777"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131" w:name="Bookmark_para_51"/>
      <w:bookmarkEnd w:id="131"/>
      <w:r w:rsidRPr="00C068D7">
        <w:rPr>
          <w:rFonts w:ascii="Times New Roman" w:eastAsia="Times" w:hAnsi="Times New Roman" w:cs="Times"/>
          <w:color w:val="000000" w:themeColor="text1"/>
          <w:sz w:val="24"/>
        </w:rPr>
        <w:t xml:space="preserve">The deterrent effect on the infringer and third parties also supports the </w:t>
      </w:r>
      <w:proofErr w:type="gramStart"/>
      <w:r w:rsidRPr="00C068D7">
        <w:rPr>
          <w:rFonts w:ascii="Times New Roman" w:eastAsia="Times" w:hAnsi="Times New Roman" w:cs="Times"/>
          <w:color w:val="000000" w:themeColor="text1"/>
          <w:sz w:val="24"/>
        </w:rPr>
        <w:t>amount</w:t>
      </w:r>
      <w:proofErr w:type="gramEnd"/>
      <w:r w:rsidRPr="00C068D7">
        <w:rPr>
          <w:rFonts w:ascii="Times New Roman" w:eastAsia="Times" w:hAnsi="Times New Roman" w:cs="Times"/>
          <w:color w:val="000000" w:themeColor="text1"/>
          <w:sz w:val="24"/>
        </w:rPr>
        <w:t xml:space="preserve"> of statutory damages imposed by the court.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admitted that he had no remorse for his actions. To the contrary he confessed that he "would make the same decision today." J. </w:t>
      </w:r>
      <w:proofErr w:type="spellStart"/>
      <w:r w:rsidRPr="00C068D7">
        <w:rPr>
          <w:rFonts w:ascii="Times New Roman" w:eastAsia="Times" w:hAnsi="Times New Roman" w:cs="Times"/>
          <w:color w:val="000000" w:themeColor="text1"/>
          <w:sz w:val="24"/>
        </w:rPr>
        <w:t>App'x</w:t>
      </w:r>
      <w:proofErr w:type="spellEnd"/>
      <w:r w:rsidRPr="00C068D7">
        <w:rPr>
          <w:rFonts w:ascii="Times New Roman" w:eastAsia="Times" w:hAnsi="Times New Roman" w:cs="Times"/>
          <w:color w:val="000000" w:themeColor="text1"/>
          <w:sz w:val="24"/>
        </w:rPr>
        <w:t xml:space="preserve"> at 2427. In these circumstances, a maximum statutory award could serve to deter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from future violations of VARA. It could further encourage other building owners to negotiate in good faith with artists whose works are incorporated into structures and to abide by the 90-day notice provision set forth in VARA when incorporated art can be removed without destruction or other modification.</w:t>
      </w:r>
    </w:p>
    <w:p w14:paraId="100C60C2" w14:textId="4CC66531"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132" w:name="Bookmark_para_52"/>
      <w:bookmarkEnd w:id="132"/>
      <w:r w:rsidRPr="00C068D7">
        <w:rPr>
          <w:rFonts w:ascii="Times New Roman" w:eastAsia="Times" w:hAnsi="Times New Roman" w:cs="Times"/>
          <w:color w:val="000000" w:themeColor="text1"/>
          <w:sz w:val="24"/>
        </w:rPr>
        <w:t>The final factor—the conduct and attitude of the parties—also cuts in favor of the maximum statutory award. During the preliminary injunction</w:t>
      </w:r>
      <w:r w:rsidRPr="00C068D7">
        <w:rPr>
          <w:rFonts w:ascii="Times New Roman" w:eastAsia="Times" w:hAnsi="Times New Roman" w:cs="Times"/>
          <w:b/>
          <w:color w:val="000000" w:themeColor="text1"/>
          <w:sz w:val="24"/>
        </w:rPr>
        <w:t> </w:t>
      </w:r>
      <w:r w:rsidRPr="00C068D7">
        <w:rPr>
          <w:rFonts w:ascii="Times New Roman" w:eastAsia="Times" w:hAnsi="Times New Roman" w:cs="Times"/>
          <w:color w:val="000000" w:themeColor="text1"/>
          <w:sz w:val="24"/>
        </w:rPr>
        <w:t xml:space="preserve">phase,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testified that it was critical that demolition of the site occur within a few months at most because otherwise he stood to lose millions of dollars in credits and possibly the entire project.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later changed his testimony and stated that at the time of the preliminary injunction hearing, there was at most a "possibility" that a delay would have caused him financial loss. S. </w:t>
      </w:r>
      <w:proofErr w:type="spellStart"/>
      <w:r w:rsidRPr="00C068D7">
        <w:rPr>
          <w:rFonts w:ascii="Times New Roman" w:eastAsia="Times" w:hAnsi="Times New Roman" w:cs="Times"/>
          <w:color w:val="000000" w:themeColor="text1"/>
          <w:sz w:val="24"/>
        </w:rPr>
        <w:t>App'x</w:t>
      </w:r>
      <w:proofErr w:type="spellEnd"/>
      <w:r w:rsidRPr="00C068D7">
        <w:rPr>
          <w:rFonts w:ascii="Times New Roman" w:eastAsia="Times" w:hAnsi="Times New Roman" w:cs="Times"/>
          <w:color w:val="000000" w:themeColor="text1"/>
          <w:sz w:val="24"/>
        </w:rPr>
        <w:t xml:space="preserve"> at 114. </w:t>
      </w:r>
      <w:r w:rsidRPr="00C068D7">
        <w:rPr>
          <w:rFonts w:ascii="Times New Roman" w:eastAsia="Times" w:hAnsi="Times New Roman" w:cs="Times"/>
          <w:b/>
          <w:color w:val="000000" w:themeColor="text1"/>
          <w:sz w:val="24"/>
        </w:rPr>
        <w:t> </w:t>
      </w:r>
      <w:r w:rsidRPr="00C068D7">
        <w:rPr>
          <w:rFonts w:ascii="Times New Roman" w:eastAsia="Times" w:hAnsi="Times New Roman" w:cs="Times"/>
          <w:color w:val="000000" w:themeColor="text1"/>
          <w:sz w:val="24"/>
        </w:rPr>
        <w:t xml:space="preserve">Subsequently, the evidence at trial established that </w:t>
      </w:r>
      <w:proofErr w:type="spellStart"/>
      <w:r w:rsidRPr="00C068D7">
        <w:rPr>
          <w:rFonts w:ascii="Times New Roman" w:eastAsia="Times" w:hAnsi="Times New Roman" w:cs="Times"/>
          <w:color w:val="000000" w:themeColor="text1"/>
          <w:sz w:val="24"/>
        </w:rPr>
        <w:t>Wolkoff</w:t>
      </w:r>
      <w:proofErr w:type="spellEnd"/>
      <w:r w:rsidRPr="00C068D7">
        <w:rPr>
          <w:rFonts w:ascii="Times New Roman" w:eastAsia="Times" w:hAnsi="Times New Roman" w:cs="Times"/>
          <w:color w:val="000000" w:themeColor="text1"/>
          <w:sz w:val="24"/>
        </w:rPr>
        <w:t xml:space="preserve"> had not even applied for a demolition permit until four months after the whitewashing, and he admitted that he suffered no loss for the delay. The district court described these statements as "conscious material misrepresentation[s]" and noted that had they not been made, it would have granted the preliminary injunction. S. </w:t>
      </w:r>
      <w:proofErr w:type="spellStart"/>
      <w:r w:rsidRPr="00C068D7">
        <w:rPr>
          <w:rFonts w:ascii="Times New Roman" w:eastAsia="Times" w:hAnsi="Times New Roman" w:cs="Times"/>
          <w:color w:val="000000" w:themeColor="text1"/>
          <w:sz w:val="24"/>
        </w:rPr>
        <w:t>App'x</w:t>
      </w:r>
      <w:proofErr w:type="spellEnd"/>
      <w:r w:rsidRPr="00C068D7">
        <w:rPr>
          <w:rFonts w:ascii="Times New Roman" w:eastAsia="Times" w:hAnsi="Times New Roman" w:cs="Times"/>
          <w:color w:val="000000" w:themeColor="text1"/>
          <w:sz w:val="24"/>
        </w:rPr>
        <w:t xml:space="preserve"> at 116.</w:t>
      </w:r>
    </w:p>
    <w:p w14:paraId="45E8A1C2" w14:textId="3DD061CB"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133" w:name="Bookmark_para_53"/>
      <w:bookmarkEnd w:id="133"/>
      <w:r w:rsidRPr="00C068D7">
        <w:rPr>
          <w:rFonts w:ascii="Times New Roman" w:eastAsia="Times" w:hAnsi="Times New Roman" w:cs="Times"/>
          <w:color w:val="000000" w:themeColor="text1"/>
          <w:sz w:val="24"/>
        </w:rPr>
        <w:t xml:space="preserve">In contrast, throughout the proceedings below, the artists complied with what the law required. Cohen sought landmark designation and, when that option became unavailable, sought to purchase the site. Judge Block noted that the artists "conducted themselves with dignity, maturity, respect, and at all times within the law." S. </w:t>
      </w:r>
      <w:proofErr w:type="spellStart"/>
      <w:r w:rsidRPr="00C068D7">
        <w:rPr>
          <w:rFonts w:ascii="Times New Roman" w:eastAsia="Times" w:hAnsi="Times New Roman" w:cs="Times"/>
          <w:color w:val="000000" w:themeColor="text1"/>
          <w:sz w:val="24"/>
        </w:rPr>
        <w:t>App'x</w:t>
      </w:r>
      <w:proofErr w:type="spellEnd"/>
      <w:r w:rsidRPr="00C068D7">
        <w:rPr>
          <w:rFonts w:ascii="Times New Roman" w:eastAsia="Times" w:hAnsi="Times New Roman" w:cs="Times"/>
          <w:color w:val="000000" w:themeColor="text1"/>
          <w:sz w:val="24"/>
        </w:rPr>
        <w:t xml:space="preserve"> at 49. In sum, we conclude that the </w:t>
      </w:r>
      <w:r w:rsidRPr="00C068D7">
        <w:rPr>
          <w:rFonts w:ascii="Times New Roman" w:eastAsia="Times" w:hAnsi="Times New Roman" w:cs="Times"/>
          <w:color w:val="000000" w:themeColor="text1"/>
          <w:sz w:val="24"/>
        </w:rPr>
        <w:lastRenderedPageBreak/>
        <w:t>district court appropriately analyzed each relevant factor and</w:t>
      </w:r>
      <w:r w:rsidRPr="00C068D7">
        <w:rPr>
          <w:rFonts w:ascii="Times New Roman" w:eastAsia="Times" w:hAnsi="Times New Roman" w:cs="Times"/>
          <w:b/>
          <w:color w:val="000000" w:themeColor="text1"/>
          <w:sz w:val="24"/>
        </w:rPr>
        <w:t> </w:t>
      </w:r>
      <w:r w:rsidRPr="00C068D7">
        <w:rPr>
          <w:rFonts w:ascii="Times New Roman" w:eastAsia="Times" w:hAnsi="Times New Roman" w:cs="Times"/>
          <w:color w:val="000000" w:themeColor="text1"/>
          <w:sz w:val="24"/>
        </w:rPr>
        <w:t xml:space="preserve">see no abuse of discretion. We have considered </w:t>
      </w:r>
      <w:proofErr w:type="spellStart"/>
      <w:r w:rsidRPr="00C068D7">
        <w:rPr>
          <w:rFonts w:ascii="Times New Roman" w:eastAsia="Times" w:hAnsi="Times New Roman" w:cs="Times"/>
          <w:color w:val="000000" w:themeColor="text1"/>
          <w:sz w:val="24"/>
        </w:rPr>
        <w:t>Wolkoff's</w:t>
      </w:r>
      <w:proofErr w:type="spellEnd"/>
      <w:r w:rsidRPr="00C068D7">
        <w:rPr>
          <w:rFonts w:ascii="Times New Roman" w:eastAsia="Times" w:hAnsi="Times New Roman" w:cs="Times"/>
          <w:color w:val="000000" w:themeColor="text1"/>
          <w:sz w:val="24"/>
        </w:rPr>
        <w:t xml:space="preserve"> other contentions and conclude that they lack merit.</w:t>
      </w:r>
    </w:p>
    <w:p w14:paraId="08925A8F" w14:textId="7E4473D2" w:rsidR="00382C50" w:rsidRPr="00C068D7" w:rsidRDefault="00382C50" w:rsidP="00820FEE">
      <w:pPr>
        <w:pStyle w:val="ListParagraph"/>
        <w:widowControl/>
        <w:numPr>
          <w:ilvl w:val="0"/>
          <w:numId w:val="1"/>
        </w:numPr>
        <w:autoSpaceDE/>
        <w:autoSpaceDN/>
        <w:adjustRightInd/>
        <w:snapToGrid w:val="0"/>
        <w:spacing w:after="240"/>
        <w:ind w:left="3600" w:hanging="3600"/>
        <w:contextualSpacing w:val="0"/>
        <w:jc w:val="both"/>
        <w:rPr>
          <w:rFonts w:ascii="Times New Roman" w:hAnsi="Times New Roman"/>
          <w:color w:val="000000" w:themeColor="text1"/>
          <w:sz w:val="24"/>
        </w:rPr>
      </w:pPr>
      <w:r w:rsidRPr="00C068D7">
        <w:rPr>
          <w:rFonts w:ascii="Times New Roman" w:eastAsia="Times" w:hAnsi="Times New Roman" w:cs="Times"/>
          <w:b/>
          <w:color w:val="000000" w:themeColor="text1"/>
          <w:sz w:val="24"/>
        </w:rPr>
        <w:t>CONCLUSION</w:t>
      </w:r>
    </w:p>
    <w:p w14:paraId="71A8D392" w14:textId="77777777" w:rsidR="00382C50" w:rsidRPr="00C068D7" w:rsidRDefault="00382C50" w:rsidP="00382C50">
      <w:pPr>
        <w:pStyle w:val="ListParagraph"/>
        <w:widowControl/>
        <w:numPr>
          <w:ilvl w:val="0"/>
          <w:numId w:val="1"/>
        </w:numPr>
        <w:autoSpaceDE/>
        <w:autoSpaceDN/>
        <w:adjustRightInd/>
        <w:snapToGrid w:val="0"/>
        <w:spacing w:after="240"/>
        <w:ind w:left="720"/>
        <w:contextualSpacing w:val="0"/>
        <w:jc w:val="both"/>
        <w:rPr>
          <w:rFonts w:ascii="Times New Roman" w:hAnsi="Times New Roman"/>
          <w:color w:val="000000" w:themeColor="text1"/>
          <w:sz w:val="24"/>
        </w:rPr>
      </w:pPr>
      <w:bookmarkStart w:id="134" w:name="Bookmark_para_54"/>
      <w:bookmarkEnd w:id="134"/>
      <w:r w:rsidRPr="00C068D7">
        <w:rPr>
          <w:rFonts w:ascii="Times New Roman" w:eastAsia="Times" w:hAnsi="Times New Roman" w:cs="Times"/>
          <w:color w:val="000000" w:themeColor="text1"/>
          <w:sz w:val="24"/>
        </w:rPr>
        <w:t>For the foregoing reasons, the judgment of the district court is</w:t>
      </w:r>
    </w:p>
    <w:p w14:paraId="74C98E02" w14:textId="77777777" w:rsidR="00382C50" w:rsidRPr="00C068D7" w:rsidRDefault="00382C50" w:rsidP="00820FEE">
      <w:pPr>
        <w:pStyle w:val="ListParagraph"/>
        <w:widowControl/>
        <w:numPr>
          <w:ilvl w:val="0"/>
          <w:numId w:val="1"/>
        </w:numPr>
        <w:autoSpaceDE/>
        <w:autoSpaceDN/>
        <w:adjustRightInd/>
        <w:snapToGrid w:val="0"/>
        <w:spacing w:after="240"/>
        <w:ind w:left="3600" w:hanging="3600"/>
        <w:contextualSpacing w:val="0"/>
        <w:jc w:val="both"/>
        <w:rPr>
          <w:rFonts w:ascii="Times New Roman" w:hAnsi="Times New Roman"/>
          <w:color w:val="000000" w:themeColor="text1"/>
          <w:sz w:val="24"/>
        </w:rPr>
      </w:pPr>
      <w:bookmarkStart w:id="135" w:name="Bookmark_para_55"/>
      <w:bookmarkEnd w:id="135"/>
      <w:r w:rsidRPr="00C068D7">
        <w:rPr>
          <w:rFonts w:ascii="Times New Roman" w:eastAsia="Times" w:hAnsi="Times New Roman" w:cs="Times"/>
          <w:b/>
          <w:color w:val="000000" w:themeColor="text1"/>
          <w:sz w:val="24"/>
        </w:rPr>
        <w:t>AFFIRMED</w:t>
      </w:r>
      <w:r w:rsidRPr="00C068D7">
        <w:rPr>
          <w:rFonts w:ascii="Times New Roman" w:eastAsia="Times" w:hAnsi="Times New Roman" w:cs="Times"/>
          <w:color w:val="000000" w:themeColor="text1"/>
          <w:sz w:val="24"/>
        </w:rPr>
        <w:t>.</w:t>
      </w:r>
    </w:p>
    <w:p w14:paraId="566DB2E3" w14:textId="77777777" w:rsidR="005723C0" w:rsidRPr="00C068D7" w:rsidRDefault="005723C0" w:rsidP="00BD0B33">
      <w:pPr>
        <w:widowControl/>
        <w:jc w:val="both"/>
        <w:rPr>
          <w:rFonts w:ascii="Times New Roman" w:hAnsi="Times New Roman"/>
          <w:color w:val="000000" w:themeColor="text1"/>
          <w:sz w:val="24"/>
          <w:szCs w:val="24"/>
        </w:rPr>
      </w:pPr>
    </w:p>
    <w:sectPr w:rsidR="005723C0" w:rsidRPr="00C068D7" w:rsidSect="00912D36">
      <w:headerReference w:type="default" r:id="rId70"/>
      <w:type w:val="continuous"/>
      <w:pgSz w:w="12240" w:h="15840"/>
      <w:pgMar w:top="1728" w:right="2160" w:bottom="1728"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DF8D0" w14:textId="77777777" w:rsidR="00A711A3" w:rsidRDefault="00A711A3">
      <w:r>
        <w:separator/>
      </w:r>
    </w:p>
  </w:endnote>
  <w:endnote w:type="continuationSeparator" w:id="0">
    <w:p w14:paraId="55B8255C" w14:textId="77777777" w:rsidR="00A711A3" w:rsidRDefault="00A7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466C" w14:textId="77777777" w:rsidR="00A711A3" w:rsidRDefault="00A711A3">
      <w:r>
        <w:separator/>
      </w:r>
    </w:p>
  </w:footnote>
  <w:footnote w:type="continuationSeparator" w:id="0">
    <w:p w14:paraId="285CDA32" w14:textId="77777777" w:rsidR="00A711A3" w:rsidRDefault="00A711A3">
      <w:r>
        <w:continuationSeparator/>
      </w:r>
    </w:p>
  </w:footnote>
  <w:footnote w:id="1">
    <w:p w14:paraId="7359DA3C" w14:textId="77777777" w:rsidR="00382C50" w:rsidRPr="00C068D7" w:rsidRDefault="00382C50" w:rsidP="00382C50">
      <w:pPr>
        <w:spacing w:before="240" w:line="240" w:lineRule="atLeast"/>
        <w:jc w:val="both"/>
        <w:rPr>
          <w:rFonts w:ascii="Times New Roman" w:hAnsi="Times New Roman"/>
          <w:color w:val="000000" w:themeColor="text1"/>
        </w:rPr>
      </w:pPr>
      <w:r w:rsidRPr="00C068D7">
        <w:rPr>
          <w:rFonts w:ascii="Times New Roman" w:eastAsia="Times" w:hAnsi="Times New Roman" w:cs="Times"/>
          <w:color w:val="000000" w:themeColor="text1"/>
          <w:vertAlign w:val="superscript"/>
        </w:rPr>
        <w:t>1 </w:t>
      </w:r>
      <w:bookmarkStart w:id="32" w:name="Bookmark_fnpara_2"/>
      <w:bookmarkStart w:id="33" w:name="Bookmark_LNHNREFclscc5"/>
      <w:bookmarkEnd w:id="32"/>
      <w:bookmarkEnd w:id="33"/>
      <w:r w:rsidRPr="00C068D7">
        <w:rPr>
          <w:rFonts w:ascii="Times New Roman" w:eastAsia="Times" w:hAnsi="Times New Roman" w:cs="Times"/>
          <w:color w:val="000000" w:themeColor="text1"/>
        </w:rPr>
        <w:t xml:space="preserve">The statute recognizes that, unlike novelists or composers, for example, visual artists depend on the integrity of the physical manifestations of their works. Artists' moral rights "spring from a belief that an artist in the process of creation injects his spirit into the work and that the artist's personality, as well as the integrity of the work, should therefore be protected and preserved." </w:t>
      </w:r>
      <w:bookmarkStart w:id="34" w:name="Bookmark_I5Y90KS82N1RVW0040000400"/>
      <w:bookmarkEnd w:id="34"/>
      <w:r w:rsidRPr="00C068D7">
        <w:rPr>
          <w:rFonts w:ascii="Times New Roman" w:hAnsi="Times New Roman"/>
          <w:color w:val="000000" w:themeColor="text1"/>
        </w:rPr>
        <w:fldChar w:fldCharType="begin"/>
      </w:r>
      <w:r w:rsidRPr="00C068D7">
        <w:rPr>
          <w:rFonts w:ascii="Times New Roman" w:hAnsi="Times New Roman"/>
          <w:color w:val="000000" w:themeColor="text1"/>
        </w:rPr>
        <w:instrText xml:space="preserve"> HYPERLINK "https://plus.lexis.com/api/document?collection=cases&amp;id=urn:contentItem:3RHM-JB30-001T-D06V-00000-00&amp;context=1530671" </w:instrText>
      </w:r>
      <w:r w:rsidRPr="00C068D7">
        <w:rPr>
          <w:rFonts w:ascii="Times New Roman" w:hAnsi="Times New Roman"/>
          <w:color w:val="000000" w:themeColor="text1"/>
        </w:rPr>
        <w:fldChar w:fldCharType="separate"/>
      </w:r>
      <w:r w:rsidRPr="00C068D7">
        <w:rPr>
          <w:rFonts w:ascii="Times New Roman" w:eastAsia="Times" w:hAnsi="Times New Roman" w:cs="Times"/>
          <w:i/>
          <w:color w:val="000000" w:themeColor="text1"/>
          <w:u w:val="single"/>
          <w:shd w:val="clear" w:color="auto" w:fill="FFFFFF"/>
        </w:rPr>
        <w:t>Carter</w:t>
      </w:r>
      <w:r w:rsidRPr="00C068D7">
        <w:rPr>
          <w:rFonts w:ascii="Times New Roman" w:eastAsia="Times" w:hAnsi="Times New Roman" w:cs="Times"/>
          <w:i/>
          <w:color w:val="000000" w:themeColor="text1"/>
          <w:u w:val="single"/>
          <w:shd w:val="clear" w:color="auto" w:fill="FFFFFF"/>
        </w:rPr>
        <w:fldChar w:fldCharType="end"/>
      </w:r>
      <w:hyperlink r:id="rId1" w:history="1">
        <w:r w:rsidRPr="00C068D7">
          <w:rPr>
            <w:rFonts w:ascii="Times New Roman" w:eastAsia="Times" w:hAnsi="Times New Roman" w:cs="Times"/>
            <w:color w:val="000000" w:themeColor="text1"/>
            <w:u w:val="single"/>
            <w:shd w:val="clear" w:color="auto" w:fill="FFFFFF"/>
          </w:rPr>
          <w:t>, 71 F.3d at 81</w:t>
        </w:r>
      </w:hyperlink>
      <w:r w:rsidRPr="00C068D7">
        <w:rPr>
          <w:rFonts w:ascii="Times New Roman" w:eastAsia="Times" w:hAnsi="Times New Roman" w:cs="Times"/>
          <w:color w:val="000000" w:themeColor="text1"/>
        </w:rPr>
        <w:t>.</w:t>
      </w:r>
    </w:p>
  </w:footnote>
  <w:footnote w:id="2">
    <w:p w14:paraId="59162535" w14:textId="77777777" w:rsidR="00382C50" w:rsidRPr="00C068D7" w:rsidRDefault="00382C50" w:rsidP="00382C50">
      <w:pPr>
        <w:spacing w:before="120" w:line="240" w:lineRule="atLeast"/>
        <w:jc w:val="both"/>
        <w:rPr>
          <w:rFonts w:ascii="Times New Roman" w:hAnsi="Times New Roman"/>
          <w:color w:val="000000" w:themeColor="text1"/>
        </w:rPr>
      </w:pPr>
      <w:r w:rsidRPr="00C068D7">
        <w:rPr>
          <w:rFonts w:ascii="Times New Roman" w:eastAsia="Times" w:hAnsi="Times New Roman" w:cs="Times"/>
          <w:color w:val="000000" w:themeColor="text1"/>
          <w:vertAlign w:val="superscript"/>
        </w:rPr>
        <w:t>2 </w:t>
      </w:r>
      <w:bookmarkStart w:id="41" w:name="Bookmark_fnpara_3"/>
      <w:bookmarkEnd w:id="41"/>
      <w:r w:rsidRPr="00C068D7">
        <w:rPr>
          <w:rFonts w:ascii="Times New Roman" w:eastAsia="Times" w:hAnsi="Times New Roman" w:cs="Times"/>
          <w:color w:val="000000" w:themeColor="text1"/>
        </w:rPr>
        <w:t>The statute contains additional provisions regarding works installed prior to its effective date, but those provisions are impertinent here, as all relevant events transpired long after VARA became effective.</w:t>
      </w:r>
    </w:p>
  </w:footnote>
  <w:footnote w:id="3">
    <w:p w14:paraId="419E545F" w14:textId="77777777" w:rsidR="00382C50" w:rsidRPr="00C068D7" w:rsidRDefault="00382C50" w:rsidP="00382C50">
      <w:pPr>
        <w:spacing w:before="200" w:line="240" w:lineRule="atLeast"/>
        <w:jc w:val="both"/>
        <w:rPr>
          <w:rFonts w:ascii="Times New Roman" w:hAnsi="Times New Roman"/>
          <w:color w:val="000000" w:themeColor="text1"/>
        </w:rPr>
      </w:pPr>
      <w:r w:rsidRPr="00C068D7">
        <w:rPr>
          <w:rFonts w:ascii="Times New Roman" w:eastAsia="Times" w:hAnsi="Times New Roman" w:cs="Times"/>
          <w:color w:val="000000" w:themeColor="text1"/>
          <w:vertAlign w:val="superscript"/>
        </w:rPr>
        <w:t>3 </w:t>
      </w:r>
      <w:bookmarkStart w:id="72" w:name="Bookmark_fnpara_4"/>
      <w:bookmarkEnd w:id="72"/>
      <w:r w:rsidRPr="00C068D7">
        <w:rPr>
          <w:rFonts w:ascii="Times New Roman" w:eastAsia="Times" w:hAnsi="Times New Roman" w:cs="Times"/>
          <w:color w:val="000000" w:themeColor="text1"/>
        </w:rPr>
        <w:t xml:space="preserve">Shepard Fairey, </w:t>
      </w:r>
      <w:r w:rsidRPr="00C068D7">
        <w:rPr>
          <w:rFonts w:ascii="Times New Roman" w:eastAsia="Times" w:hAnsi="Times New Roman" w:cs="Times"/>
          <w:i/>
          <w:color w:val="000000" w:themeColor="text1"/>
        </w:rPr>
        <w:t>Banksy</w:t>
      </w:r>
      <w:r w:rsidRPr="00C068D7">
        <w:rPr>
          <w:rFonts w:ascii="Times New Roman" w:eastAsia="Times" w:hAnsi="Times New Roman" w:cs="Times"/>
          <w:color w:val="000000" w:themeColor="text1"/>
        </w:rPr>
        <w:t>, Time (Apr. 29, 2010), http://content.time.com/time/specials/packages/article/0,28804,1984685_1984940_1984945,00.html.</w:t>
      </w:r>
    </w:p>
  </w:footnote>
  <w:footnote w:id="4">
    <w:p w14:paraId="72178C7C" w14:textId="77777777" w:rsidR="00382C50" w:rsidRPr="00C068D7" w:rsidRDefault="00382C50" w:rsidP="00382C50">
      <w:pPr>
        <w:spacing w:before="200" w:line="240" w:lineRule="atLeast"/>
        <w:jc w:val="both"/>
        <w:rPr>
          <w:rFonts w:ascii="Times New Roman" w:hAnsi="Times New Roman"/>
          <w:color w:val="000000" w:themeColor="text1"/>
        </w:rPr>
      </w:pPr>
      <w:r w:rsidRPr="00C068D7">
        <w:rPr>
          <w:rFonts w:ascii="Times New Roman" w:eastAsia="Times" w:hAnsi="Times New Roman" w:cs="Times"/>
          <w:color w:val="000000" w:themeColor="text1"/>
          <w:vertAlign w:val="superscript"/>
        </w:rPr>
        <w:t>4 </w:t>
      </w:r>
      <w:bookmarkStart w:id="73" w:name="Bookmark_fnpara_5"/>
      <w:bookmarkEnd w:id="73"/>
      <w:r w:rsidRPr="00C068D7">
        <w:rPr>
          <w:rFonts w:ascii="Times New Roman" w:eastAsia="Times" w:hAnsi="Times New Roman" w:cs="Times"/>
          <w:color w:val="000000" w:themeColor="text1"/>
        </w:rPr>
        <w:t xml:space="preserve">Scott </w:t>
      </w:r>
      <w:proofErr w:type="spellStart"/>
      <w:r w:rsidRPr="00C068D7">
        <w:rPr>
          <w:rFonts w:ascii="Times New Roman" w:eastAsia="Times" w:hAnsi="Times New Roman" w:cs="Times"/>
          <w:color w:val="000000" w:themeColor="text1"/>
        </w:rPr>
        <w:t>Reyburn</w:t>
      </w:r>
      <w:proofErr w:type="spellEnd"/>
      <w:r w:rsidRPr="00C068D7">
        <w:rPr>
          <w:rFonts w:ascii="Times New Roman" w:eastAsia="Times" w:hAnsi="Times New Roman" w:cs="Times"/>
          <w:color w:val="000000" w:themeColor="text1"/>
        </w:rPr>
        <w:t xml:space="preserve">, </w:t>
      </w:r>
      <w:r w:rsidRPr="00C068D7">
        <w:rPr>
          <w:rFonts w:ascii="Times New Roman" w:eastAsia="Times" w:hAnsi="Times New Roman" w:cs="Times"/>
          <w:i/>
          <w:color w:val="000000" w:themeColor="text1"/>
        </w:rPr>
        <w:t>How Banksy's Prank Might Boost His Prices: 'It's a Part of Art History</w:t>
      </w:r>
      <w:r w:rsidRPr="00C068D7">
        <w:rPr>
          <w:rFonts w:ascii="Times New Roman" w:eastAsia="Times" w:hAnsi="Times New Roman" w:cs="Times"/>
          <w:color w:val="000000" w:themeColor="text1"/>
        </w:rPr>
        <w:t>', N.Y. Times (Oct. 7, 2018), https://www.nytimes.com/2018/10/07/arts/design/banksy-artwork-painting.html.</w:t>
      </w:r>
    </w:p>
  </w:footnote>
  <w:footnote w:id="5">
    <w:p w14:paraId="0C75784C" w14:textId="77777777" w:rsidR="00382C50" w:rsidRPr="00C068D7" w:rsidRDefault="00382C50" w:rsidP="00382C50">
      <w:pPr>
        <w:spacing w:before="200" w:line="240" w:lineRule="atLeast"/>
        <w:jc w:val="both"/>
        <w:rPr>
          <w:rFonts w:ascii="Times New Roman" w:hAnsi="Times New Roman"/>
          <w:color w:val="000000" w:themeColor="text1"/>
        </w:rPr>
      </w:pPr>
      <w:r w:rsidRPr="00C068D7">
        <w:rPr>
          <w:rFonts w:ascii="Times New Roman" w:eastAsia="Times" w:hAnsi="Times New Roman" w:cs="Times"/>
          <w:color w:val="000000" w:themeColor="text1"/>
          <w:vertAlign w:val="superscript"/>
        </w:rPr>
        <w:t>5 </w:t>
      </w:r>
      <w:bookmarkStart w:id="75" w:name="Bookmark_fnpara_6"/>
      <w:bookmarkEnd w:id="75"/>
      <w:r w:rsidRPr="00C068D7">
        <w:rPr>
          <w:rFonts w:ascii="Times New Roman" w:eastAsia="Times" w:hAnsi="Times New Roman" w:cs="Times"/>
          <w:color w:val="000000" w:themeColor="text1"/>
        </w:rPr>
        <w:t xml:space="preserve">Banksy himself has participated in creative destruction, which has only drawn further attention to his work. The documentary </w:t>
      </w:r>
      <w:r w:rsidRPr="00C068D7">
        <w:rPr>
          <w:rFonts w:ascii="Times New Roman" w:eastAsia="Times" w:hAnsi="Times New Roman" w:cs="Times"/>
          <w:i/>
          <w:color w:val="000000" w:themeColor="text1"/>
        </w:rPr>
        <w:t>Graffiti Wars</w:t>
      </w:r>
      <w:r w:rsidRPr="00C068D7">
        <w:rPr>
          <w:rFonts w:ascii="Times New Roman" w:eastAsia="Times" w:hAnsi="Times New Roman" w:cs="Times"/>
          <w:color w:val="000000" w:themeColor="text1"/>
        </w:rPr>
        <w:t xml:space="preserve"> (2011), for example, describes a creative feud between Banksy and rival artist King Robbo, which involved repeated modification and overpainting of each other's work. The feud did not detract from the recognition or stature of either artist's work.</w:t>
      </w:r>
    </w:p>
  </w:footnote>
  <w:footnote w:id="6">
    <w:p w14:paraId="1194A9D8" w14:textId="77777777" w:rsidR="00382C50" w:rsidRPr="00C068D7" w:rsidRDefault="00382C50" w:rsidP="00382C50">
      <w:pPr>
        <w:spacing w:before="120" w:line="240" w:lineRule="atLeast"/>
        <w:jc w:val="both"/>
        <w:rPr>
          <w:rFonts w:ascii="Times New Roman" w:hAnsi="Times New Roman"/>
          <w:color w:val="000000" w:themeColor="text1"/>
        </w:rPr>
      </w:pPr>
      <w:r w:rsidRPr="00C068D7">
        <w:rPr>
          <w:rFonts w:ascii="Times New Roman" w:eastAsia="Times" w:hAnsi="Times New Roman" w:cs="Times"/>
          <w:color w:val="000000" w:themeColor="text1"/>
          <w:vertAlign w:val="superscript"/>
        </w:rPr>
        <w:t>6 </w:t>
      </w:r>
      <w:bookmarkStart w:id="81" w:name="Bookmark_fnpara_7"/>
      <w:bookmarkEnd w:id="81"/>
      <w:r w:rsidRPr="00C068D7">
        <w:rPr>
          <w:rFonts w:ascii="Times New Roman" w:eastAsia="Times" w:hAnsi="Times New Roman" w:cs="Times"/>
          <w:color w:val="000000" w:themeColor="text1"/>
        </w:rPr>
        <w:t>Although Cohen acknowledged his awareness that the buildings would eventually be torn down, other plaintiffs testified that they were unaware of Appellants' plans.</w:t>
      </w:r>
    </w:p>
  </w:footnote>
  <w:footnote w:id="7">
    <w:p w14:paraId="0F4479B8" w14:textId="77777777" w:rsidR="00382C50" w:rsidRPr="00C068D7" w:rsidRDefault="00382C50" w:rsidP="00382C50">
      <w:pPr>
        <w:spacing w:before="240" w:line="240" w:lineRule="atLeast"/>
        <w:jc w:val="both"/>
        <w:rPr>
          <w:rFonts w:ascii="Times New Roman" w:hAnsi="Times New Roman"/>
          <w:color w:val="000000" w:themeColor="text1"/>
        </w:rPr>
      </w:pPr>
      <w:r w:rsidRPr="00C068D7">
        <w:rPr>
          <w:rFonts w:ascii="Times New Roman" w:eastAsia="Times" w:hAnsi="Times New Roman" w:cs="Times"/>
          <w:color w:val="000000" w:themeColor="text1"/>
          <w:vertAlign w:val="superscript"/>
        </w:rPr>
        <w:t>7 </w:t>
      </w:r>
      <w:bookmarkStart w:id="87" w:name="Bookmark_fnpara_8"/>
      <w:bookmarkStart w:id="88" w:name="Bookmark_I5Y90KSB28T49M0020000400"/>
      <w:bookmarkEnd w:id="87"/>
      <w:bookmarkEnd w:id="88"/>
      <w:r w:rsidRPr="00C068D7">
        <w:rPr>
          <w:rFonts w:ascii="Times New Roman" w:eastAsia="Times" w:hAnsi="Times New Roman" w:cs="Times"/>
          <w:color w:val="000000" w:themeColor="text1"/>
        </w:rPr>
        <w:t xml:space="preserve">The House Judiciary Committee Report on VARA confirms our conclusion that </w:t>
      </w:r>
      <w:bookmarkStart w:id="89" w:name="Bookmark_LNHNREFclscc17"/>
      <w:bookmarkEnd w:id="89"/>
      <w:r w:rsidRPr="00C068D7">
        <w:rPr>
          <w:rFonts w:ascii="Times New Roman" w:eastAsia="Times" w:hAnsi="Times New Roman" w:cs="Times"/>
          <w:color w:val="000000" w:themeColor="text1"/>
        </w:rPr>
        <w:t xml:space="preserve">an artist's "pre-existing standing in the artistic community" is relevant to "recognized stature." H.R. Rep. No. 101-514 (1990), </w:t>
      </w:r>
      <w:r w:rsidRPr="00C068D7">
        <w:rPr>
          <w:rFonts w:ascii="Times New Roman" w:eastAsia="Times" w:hAnsi="Times New Roman" w:cs="Times"/>
          <w:i/>
          <w:color w:val="000000" w:themeColor="text1"/>
        </w:rPr>
        <w:t>as reprinted in</w:t>
      </w:r>
      <w:r w:rsidRPr="00C068D7">
        <w:rPr>
          <w:rFonts w:ascii="Times New Roman" w:eastAsia="Times" w:hAnsi="Times New Roman" w:cs="Times"/>
          <w:color w:val="000000" w:themeColor="text1"/>
        </w:rPr>
        <w:t xml:space="preserve"> 1990 U.S.C.C.A.N. 6915, 6925. </w:t>
      </w:r>
      <w:bookmarkStart w:id="90" w:name="Bookmark_I5Y90KSB28T49M0040000400"/>
      <w:bookmarkEnd w:id="90"/>
      <w:r w:rsidRPr="00C068D7">
        <w:rPr>
          <w:rFonts w:ascii="Times New Roman" w:eastAsia="Times" w:hAnsi="Times New Roman" w:cs="Times"/>
          <w:i/>
          <w:color w:val="000000" w:themeColor="text1"/>
        </w:rPr>
        <w:t xml:space="preserve">See generally </w:t>
      </w:r>
      <w:bookmarkStart w:id="91" w:name="Bookmark_I5Y90KSB28T49M0010000400"/>
      <w:bookmarkEnd w:id="91"/>
      <w:r w:rsidRPr="00C068D7">
        <w:rPr>
          <w:rFonts w:ascii="Times New Roman" w:hAnsi="Times New Roman"/>
          <w:color w:val="000000" w:themeColor="text1"/>
        </w:rPr>
        <w:fldChar w:fldCharType="begin"/>
      </w:r>
      <w:r w:rsidRPr="00C068D7">
        <w:rPr>
          <w:rFonts w:ascii="Times New Roman" w:hAnsi="Times New Roman"/>
          <w:color w:val="000000" w:themeColor="text1"/>
        </w:rPr>
        <w:instrText xml:space="preserve"> HYPERLINK "https://plus.lexis.com/api/document?collection=cases&amp;id=urn:contentItem:5KD1-X121-F04K-J427-00000-00&amp;context=1530671" </w:instrText>
      </w:r>
      <w:r w:rsidRPr="00C068D7">
        <w:rPr>
          <w:rFonts w:ascii="Times New Roman" w:hAnsi="Times New Roman"/>
          <w:color w:val="000000" w:themeColor="text1"/>
        </w:rPr>
        <w:fldChar w:fldCharType="separate"/>
      </w:r>
      <w:r w:rsidRPr="00C068D7">
        <w:rPr>
          <w:rFonts w:ascii="Times New Roman" w:eastAsia="Times" w:hAnsi="Times New Roman" w:cs="Times"/>
          <w:i/>
          <w:color w:val="000000" w:themeColor="text1"/>
          <w:u w:val="single"/>
          <w:shd w:val="clear" w:color="auto" w:fill="FFFFFF"/>
        </w:rPr>
        <w:t xml:space="preserve">United States v. </w:t>
      </w:r>
      <w:proofErr w:type="spellStart"/>
      <w:r w:rsidRPr="00C068D7">
        <w:rPr>
          <w:rFonts w:ascii="Times New Roman" w:eastAsia="Times" w:hAnsi="Times New Roman" w:cs="Times"/>
          <w:i/>
          <w:color w:val="000000" w:themeColor="text1"/>
          <w:u w:val="single"/>
          <w:shd w:val="clear" w:color="auto" w:fill="FFFFFF"/>
        </w:rPr>
        <w:t>Epskamp</w:t>
      </w:r>
      <w:proofErr w:type="spellEnd"/>
      <w:r w:rsidRPr="00C068D7">
        <w:rPr>
          <w:rFonts w:ascii="Times New Roman" w:eastAsia="Times" w:hAnsi="Times New Roman" w:cs="Times"/>
          <w:i/>
          <w:color w:val="000000" w:themeColor="text1"/>
          <w:u w:val="single"/>
          <w:shd w:val="clear" w:color="auto" w:fill="FFFFFF"/>
        </w:rPr>
        <w:fldChar w:fldCharType="end"/>
      </w:r>
      <w:hyperlink r:id="rId2" w:history="1">
        <w:r w:rsidRPr="00C068D7">
          <w:rPr>
            <w:rFonts w:ascii="Times New Roman" w:eastAsia="Times" w:hAnsi="Times New Roman" w:cs="Times"/>
            <w:color w:val="000000" w:themeColor="text1"/>
            <w:u w:val="single"/>
            <w:shd w:val="clear" w:color="auto" w:fill="FFFFFF"/>
          </w:rPr>
          <w:t>, 832 F.3d 154, 165 (2d Cir. 2016)</w:t>
        </w:r>
      </w:hyperlink>
      <w:r w:rsidRPr="00C068D7">
        <w:rPr>
          <w:rFonts w:ascii="Times New Roman" w:eastAsia="Times" w:hAnsi="Times New Roman" w:cs="Times"/>
          <w:color w:val="000000" w:themeColor="text1"/>
        </w:rPr>
        <w:t xml:space="preserve"> (noting that legislative history may be invoked for confirmatory purposes). Indeed, several courts have recognized the possibility that, in extreme cases, an artist's prominence might render </w:t>
      </w:r>
      <w:proofErr w:type="gramStart"/>
      <w:r w:rsidRPr="00C068D7">
        <w:rPr>
          <w:rFonts w:ascii="Times New Roman" w:eastAsia="Times" w:hAnsi="Times New Roman" w:cs="Times"/>
          <w:color w:val="000000" w:themeColor="text1"/>
        </w:rPr>
        <w:t>all of</w:t>
      </w:r>
      <w:proofErr w:type="gramEnd"/>
      <w:r w:rsidRPr="00C068D7">
        <w:rPr>
          <w:rFonts w:ascii="Times New Roman" w:eastAsia="Times" w:hAnsi="Times New Roman" w:cs="Times"/>
          <w:color w:val="000000" w:themeColor="text1"/>
        </w:rPr>
        <w:t xml:space="preserve"> his work of "recognized stature," even if particular works are unknown to the public. </w:t>
      </w:r>
      <w:bookmarkStart w:id="92" w:name="Bookmark_I5Y90KSB28T49M0040000400_2"/>
      <w:bookmarkEnd w:id="92"/>
      <w:r w:rsidRPr="00C068D7">
        <w:rPr>
          <w:rFonts w:ascii="Times New Roman" w:eastAsia="Times" w:hAnsi="Times New Roman" w:cs="Times"/>
          <w:i/>
          <w:color w:val="000000" w:themeColor="text1"/>
        </w:rPr>
        <w:t xml:space="preserve">E.g., </w:t>
      </w:r>
      <w:bookmarkStart w:id="93" w:name="Bookmark_I5Y90KSB28T49M0030000400"/>
      <w:bookmarkEnd w:id="93"/>
      <w:r w:rsidRPr="00C068D7">
        <w:rPr>
          <w:rFonts w:ascii="Times New Roman" w:hAnsi="Times New Roman"/>
          <w:color w:val="000000" w:themeColor="text1"/>
        </w:rPr>
        <w:fldChar w:fldCharType="begin"/>
      </w:r>
      <w:r w:rsidRPr="00C068D7">
        <w:rPr>
          <w:rFonts w:ascii="Times New Roman" w:hAnsi="Times New Roman"/>
          <w:color w:val="000000" w:themeColor="text1"/>
        </w:rPr>
        <w:instrText xml:space="preserve"> HYPERLINK "https://plus.lexis.com/api/document?collection=cases&amp;id=urn:contentItem:4C24-M170-0038-Y3KV-00000-00&amp;context=1530671" </w:instrText>
      </w:r>
      <w:r w:rsidRPr="00C068D7">
        <w:rPr>
          <w:rFonts w:ascii="Times New Roman" w:hAnsi="Times New Roman"/>
          <w:color w:val="000000" w:themeColor="text1"/>
        </w:rPr>
        <w:fldChar w:fldCharType="separate"/>
      </w:r>
      <w:r w:rsidRPr="00C068D7">
        <w:rPr>
          <w:rFonts w:ascii="Times New Roman" w:eastAsia="Times" w:hAnsi="Times New Roman" w:cs="Times"/>
          <w:i/>
          <w:color w:val="000000" w:themeColor="text1"/>
          <w:u w:val="single"/>
          <w:shd w:val="clear" w:color="auto" w:fill="FFFFFF"/>
        </w:rPr>
        <w:t>Scott v. Dixon</w:t>
      </w:r>
      <w:r w:rsidRPr="00C068D7">
        <w:rPr>
          <w:rFonts w:ascii="Times New Roman" w:eastAsia="Times" w:hAnsi="Times New Roman" w:cs="Times"/>
          <w:i/>
          <w:color w:val="000000" w:themeColor="text1"/>
          <w:u w:val="single"/>
          <w:shd w:val="clear" w:color="auto" w:fill="FFFFFF"/>
        </w:rPr>
        <w:fldChar w:fldCharType="end"/>
      </w:r>
      <w:hyperlink r:id="rId3" w:history="1">
        <w:r w:rsidRPr="00C068D7">
          <w:rPr>
            <w:rFonts w:ascii="Times New Roman" w:eastAsia="Times" w:hAnsi="Times New Roman" w:cs="Times"/>
            <w:color w:val="000000" w:themeColor="text1"/>
            <w:u w:val="single"/>
            <w:shd w:val="clear" w:color="auto" w:fill="FFFFFF"/>
          </w:rPr>
          <w:t>, 309 F. Supp. 2d 395, 400 (E.D.N.Y. 2004)</w:t>
        </w:r>
      </w:hyperlink>
      <w:r w:rsidRPr="00C068D7">
        <w:rPr>
          <w:rFonts w:ascii="Times New Roman" w:eastAsia="Times" w:hAnsi="Times New Roman" w:cs="Times"/>
          <w:color w:val="000000" w:themeColor="text1"/>
        </w:rPr>
        <w:t xml:space="preserve"> ("[T]he court can imagine a set of circumstances where an artist's work is of such recognized stature that any work by that artist would be subject to VARA's protection . . . ."); </w:t>
      </w:r>
      <w:bookmarkStart w:id="94" w:name="Bookmark_I5Y90KSB28T49M0050000400"/>
      <w:bookmarkEnd w:id="94"/>
      <w:r w:rsidRPr="00C068D7">
        <w:rPr>
          <w:rFonts w:ascii="Times New Roman" w:hAnsi="Times New Roman"/>
          <w:color w:val="000000" w:themeColor="text1"/>
        </w:rPr>
        <w:fldChar w:fldCharType="begin"/>
      </w:r>
      <w:r w:rsidRPr="00C068D7">
        <w:rPr>
          <w:rFonts w:ascii="Times New Roman" w:hAnsi="Times New Roman"/>
          <w:color w:val="000000" w:themeColor="text1"/>
        </w:rPr>
        <w:instrText xml:space="preserve"> HYPERLINK "https://plus.lexis.com/api/document?collection=cases&amp;id=urn:contentItem:3RX6-F960-003D-J34D-00000-00&amp;context=1530671" </w:instrText>
      </w:r>
      <w:r w:rsidRPr="00C068D7">
        <w:rPr>
          <w:rFonts w:ascii="Times New Roman" w:hAnsi="Times New Roman"/>
          <w:color w:val="000000" w:themeColor="text1"/>
        </w:rPr>
        <w:fldChar w:fldCharType="separate"/>
      </w:r>
      <w:proofErr w:type="spellStart"/>
      <w:r w:rsidRPr="00C068D7">
        <w:rPr>
          <w:rFonts w:ascii="Times New Roman" w:eastAsia="Times" w:hAnsi="Times New Roman" w:cs="Times"/>
          <w:i/>
          <w:color w:val="000000" w:themeColor="text1"/>
          <w:u w:val="single"/>
          <w:shd w:val="clear" w:color="auto" w:fill="FFFFFF"/>
        </w:rPr>
        <w:t>Lubner</w:t>
      </w:r>
      <w:proofErr w:type="spellEnd"/>
      <w:r w:rsidRPr="00C068D7">
        <w:rPr>
          <w:rFonts w:ascii="Times New Roman" w:eastAsia="Times" w:hAnsi="Times New Roman" w:cs="Times"/>
          <w:i/>
          <w:color w:val="000000" w:themeColor="text1"/>
          <w:u w:val="single"/>
          <w:shd w:val="clear" w:color="auto" w:fill="FFFFFF"/>
        </w:rPr>
        <w:t xml:space="preserve"> v. City of Los Angeles</w:t>
      </w:r>
      <w:r w:rsidRPr="00C068D7">
        <w:rPr>
          <w:rFonts w:ascii="Times New Roman" w:eastAsia="Times" w:hAnsi="Times New Roman" w:cs="Times"/>
          <w:i/>
          <w:color w:val="000000" w:themeColor="text1"/>
          <w:u w:val="single"/>
          <w:shd w:val="clear" w:color="auto" w:fill="FFFFFF"/>
        </w:rPr>
        <w:fldChar w:fldCharType="end"/>
      </w:r>
      <w:hyperlink r:id="rId4" w:history="1">
        <w:r w:rsidRPr="00C068D7">
          <w:rPr>
            <w:rFonts w:ascii="Times New Roman" w:eastAsia="Times" w:hAnsi="Times New Roman" w:cs="Times"/>
            <w:color w:val="000000" w:themeColor="text1"/>
            <w:u w:val="single"/>
            <w:shd w:val="clear" w:color="auto" w:fill="FFFFFF"/>
          </w:rPr>
          <w:t xml:space="preserve">, 45 Cal. App. 4th 525, 531, 53 Cal. </w:t>
        </w:r>
        <w:proofErr w:type="spellStart"/>
        <w:r w:rsidRPr="00C068D7">
          <w:rPr>
            <w:rFonts w:ascii="Times New Roman" w:eastAsia="Times" w:hAnsi="Times New Roman" w:cs="Times"/>
            <w:color w:val="000000" w:themeColor="text1"/>
            <w:u w:val="single"/>
            <w:shd w:val="clear" w:color="auto" w:fill="FFFFFF"/>
          </w:rPr>
          <w:t>Rptr</w:t>
        </w:r>
        <w:proofErr w:type="spellEnd"/>
        <w:r w:rsidRPr="00C068D7">
          <w:rPr>
            <w:rFonts w:ascii="Times New Roman" w:eastAsia="Times" w:hAnsi="Times New Roman" w:cs="Times"/>
            <w:color w:val="000000" w:themeColor="text1"/>
            <w:u w:val="single"/>
            <w:shd w:val="clear" w:color="auto" w:fill="FFFFFF"/>
          </w:rPr>
          <w:t>. 2d 24 (1996)</w:t>
        </w:r>
      </w:hyperlink>
      <w:r w:rsidRPr="00C068D7">
        <w:rPr>
          <w:rFonts w:ascii="Times New Roman" w:eastAsia="Times" w:hAnsi="Times New Roman" w:cs="Times"/>
          <w:color w:val="000000" w:themeColor="text1"/>
        </w:rPr>
        <w:t xml:space="preserve"> (inferring that art was "of recognized stature" because the creators were "recognized artists who have created and exhibited their paintings and drawings for over 40 years" (citing </w:t>
      </w:r>
      <w:bookmarkStart w:id="95" w:name="Bookmark_I5Y90KSC2HM68B0020000400"/>
      <w:bookmarkEnd w:id="95"/>
      <w:r w:rsidRPr="00C068D7">
        <w:rPr>
          <w:rFonts w:ascii="Times New Roman" w:hAnsi="Times New Roman"/>
          <w:color w:val="000000" w:themeColor="text1"/>
        </w:rPr>
        <w:fldChar w:fldCharType="begin"/>
      </w:r>
      <w:r w:rsidRPr="00C068D7">
        <w:rPr>
          <w:rFonts w:ascii="Times New Roman" w:hAnsi="Times New Roman"/>
          <w:color w:val="000000" w:themeColor="text1"/>
        </w:rPr>
        <w:instrText xml:space="preserve"> HYPERLINK "https://plus.lexis.com/api/document?collection=cases&amp;id=urn:contentItem:3S4N-CCW0-003B-V3R5-00000-00&amp;context=1530671" </w:instrText>
      </w:r>
      <w:r w:rsidRPr="00C068D7">
        <w:rPr>
          <w:rFonts w:ascii="Times New Roman" w:hAnsi="Times New Roman"/>
          <w:color w:val="000000" w:themeColor="text1"/>
        </w:rPr>
        <w:fldChar w:fldCharType="separate"/>
      </w:r>
      <w:r w:rsidRPr="00C068D7">
        <w:rPr>
          <w:rFonts w:ascii="Times New Roman" w:eastAsia="Times" w:hAnsi="Times New Roman" w:cs="Times"/>
          <w:i/>
          <w:color w:val="000000" w:themeColor="text1"/>
          <w:u w:val="single"/>
          <w:shd w:val="clear" w:color="auto" w:fill="FFFFFF"/>
        </w:rPr>
        <w:t>Carter</w:t>
      </w:r>
      <w:r w:rsidRPr="00C068D7">
        <w:rPr>
          <w:rFonts w:ascii="Times New Roman" w:eastAsia="Times" w:hAnsi="Times New Roman" w:cs="Times"/>
          <w:i/>
          <w:color w:val="000000" w:themeColor="text1"/>
          <w:u w:val="single"/>
          <w:shd w:val="clear" w:color="auto" w:fill="FFFFFF"/>
        </w:rPr>
        <w:fldChar w:fldCharType="end"/>
      </w:r>
      <w:hyperlink r:id="rId5" w:history="1">
        <w:r w:rsidRPr="00C068D7">
          <w:rPr>
            <w:rFonts w:ascii="Times New Roman" w:eastAsia="Times" w:hAnsi="Times New Roman" w:cs="Times"/>
            <w:color w:val="000000" w:themeColor="text1"/>
            <w:u w:val="single"/>
            <w:shd w:val="clear" w:color="auto" w:fill="FFFFFF"/>
          </w:rPr>
          <w:t>, 861 F. Supp. at 325</w:t>
        </w:r>
      </w:hyperlink>
      <w:r w:rsidRPr="00C068D7">
        <w:rPr>
          <w:rFonts w:ascii="Times New Roman" w:eastAsia="Times" w:hAnsi="Times New Roman" w:cs="Times"/>
          <w:color w:val="000000" w:themeColor="text1"/>
        </w:rPr>
        <w:t>)).</w:t>
      </w:r>
    </w:p>
  </w:footnote>
  <w:footnote w:id="8">
    <w:p w14:paraId="50FE4ECD" w14:textId="77777777" w:rsidR="00382C50" w:rsidRPr="00C068D7" w:rsidRDefault="00382C50" w:rsidP="00382C50">
      <w:pPr>
        <w:spacing w:before="120" w:line="240" w:lineRule="atLeast"/>
        <w:jc w:val="both"/>
        <w:rPr>
          <w:rFonts w:ascii="Times New Roman" w:hAnsi="Times New Roman"/>
          <w:color w:val="000000" w:themeColor="text1"/>
        </w:rPr>
      </w:pPr>
      <w:r w:rsidRPr="00C068D7">
        <w:rPr>
          <w:rFonts w:ascii="Times New Roman" w:eastAsia="Times" w:hAnsi="Times New Roman" w:cs="Times"/>
          <w:color w:val="000000" w:themeColor="text1"/>
          <w:vertAlign w:val="superscript"/>
        </w:rPr>
        <w:t>8 </w:t>
      </w:r>
      <w:bookmarkStart w:id="111" w:name="Bookmark_fnpara_9"/>
      <w:bookmarkEnd w:id="111"/>
      <w:r w:rsidRPr="00C068D7">
        <w:rPr>
          <w:rFonts w:ascii="Times New Roman" w:eastAsia="Times" w:hAnsi="Times New Roman" w:cs="Times"/>
          <w:color w:val="000000" w:themeColor="text1"/>
        </w:rPr>
        <w:t>Appellants point out that only some of the present plaintiffs had advanced claims before the artwork was whitewashed. Nonetheless, claims by even some of the artists sufficed to notify Appellants that the 5Pointz artists' rights under VARA could be implicated by destroying the artwork. Moreover, in whitewashing the artwork, Appellants did not differentiate between the works involved in ongoing litigation and those whose creators sued only later.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ADBE" w14:textId="77777777" w:rsidR="005723C0" w:rsidRDefault="005723C0">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869BF"/>
    <w:multiLevelType w:val="hybridMultilevel"/>
    <w:tmpl w:val="29C832DA"/>
    <w:lvl w:ilvl="0" w:tplc="6C2E9058">
      <w:start w:val="1"/>
      <w:numFmt w:val="decimal"/>
      <w:lvlText w:val="%1"/>
      <w:lvlJc w:val="left"/>
      <w:pPr>
        <w:ind w:left="1080" w:hanging="720"/>
      </w:pPr>
      <w:rPr>
        <w:rFonts w:ascii="Times New Roman" w:hAnsi="Times New Roman" w:cs="Times New Roman" w:hint="default"/>
        <w:color w:val="0070C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B1"/>
    <w:rsid w:val="00003B97"/>
    <w:rsid w:val="00003EED"/>
    <w:rsid w:val="0005773E"/>
    <w:rsid w:val="000C1282"/>
    <w:rsid w:val="000F78D3"/>
    <w:rsid w:val="00125171"/>
    <w:rsid w:val="001D2815"/>
    <w:rsid w:val="002206A7"/>
    <w:rsid w:val="0026313E"/>
    <w:rsid w:val="002C6E73"/>
    <w:rsid w:val="00306AC5"/>
    <w:rsid w:val="00382C50"/>
    <w:rsid w:val="003876D6"/>
    <w:rsid w:val="003C0AAB"/>
    <w:rsid w:val="003F0756"/>
    <w:rsid w:val="004661AF"/>
    <w:rsid w:val="004D32BE"/>
    <w:rsid w:val="00546BA6"/>
    <w:rsid w:val="005723C0"/>
    <w:rsid w:val="005C05F3"/>
    <w:rsid w:val="005F2AF0"/>
    <w:rsid w:val="00745DE5"/>
    <w:rsid w:val="008024C2"/>
    <w:rsid w:val="00820FEE"/>
    <w:rsid w:val="0089709F"/>
    <w:rsid w:val="008C02A6"/>
    <w:rsid w:val="008D1139"/>
    <w:rsid w:val="00912D36"/>
    <w:rsid w:val="009929DB"/>
    <w:rsid w:val="00A711A3"/>
    <w:rsid w:val="00B615BD"/>
    <w:rsid w:val="00B67558"/>
    <w:rsid w:val="00BD0B33"/>
    <w:rsid w:val="00C068D7"/>
    <w:rsid w:val="00C669F6"/>
    <w:rsid w:val="00CA4BA1"/>
    <w:rsid w:val="00CB1D1D"/>
    <w:rsid w:val="00CD454B"/>
    <w:rsid w:val="00D008B9"/>
    <w:rsid w:val="00DC3E7D"/>
    <w:rsid w:val="00DF77E3"/>
    <w:rsid w:val="00E66E5C"/>
    <w:rsid w:val="00E921BC"/>
    <w:rsid w:val="00E92EC6"/>
    <w:rsid w:val="00EC0DC4"/>
    <w:rsid w:val="00EC6A07"/>
    <w:rsid w:val="00ED6F7C"/>
    <w:rsid w:val="00EE1EB1"/>
    <w:rsid w:val="00F6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BFBBA"/>
  <w14:defaultImageDpi w14:val="0"/>
  <w15:docId w15:val="{7C510C8E-DD20-2744-B565-56227A77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rPr>
  </w:style>
  <w:style w:type="paragraph" w:styleId="Heading2">
    <w:name w:val="heading 2"/>
    <w:basedOn w:val="Normal"/>
    <w:link w:val="Heading2Char"/>
    <w:uiPriority w:val="9"/>
    <w:qFormat/>
    <w:rsid w:val="00912D36"/>
    <w:pPr>
      <w:widowControl/>
      <w:autoSpaceDE/>
      <w:autoSpaceDN/>
      <w:adjustRightInd/>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EB1"/>
    <w:pPr>
      <w:tabs>
        <w:tab w:val="center" w:pos="4320"/>
        <w:tab w:val="right" w:pos="8640"/>
      </w:tabs>
    </w:pPr>
  </w:style>
  <w:style w:type="character" w:customStyle="1" w:styleId="HeaderChar">
    <w:name w:val="Header Char"/>
    <w:basedOn w:val="DefaultParagraphFont"/>
    <w:link w:val="Header"/>
    <w:uiPriority w:val="99"/>
    <w:rsid w:val="00EE1EB1"/>
    <w:rPr>
      <w:rFonts w:ascii="Courier" w:hAnsi="Courier"/>
    </w:rPr>
  </w:style>
  <w:style w:type="paragraph" w:styleId="Footer">
    <w:name w:val="footer"/>
    <w:basedOn w:val="Normal"/>
    <w:link w:val="FooterChar"/>
    <w:uiPriority w:val="99"/>
    <w:unhideWhenUsed/>
    <w:rsid w:val="00EE1EB1"/>
    <w:pPr>
      <w:tabs>
        <w:tab w:val="center" w:pos="4320"/>
        <w:tab w:val="right" w:pos="8640"/>
      </w:tabs>
    </w:pPr>
  </w:style>
  <w:style w:type="character" w:customStyle="1" w:styleId="FooterChar">
    <w:name w:val="Footer Char"/>
    <w:basedOn w:val="DefaultParagraphFont"/>
    <w:link w:val="Footer"/>
    <w:uiPriority w:val="99"/>
    <w:rsid w:val="00EE1EB1"/>
    <w:rPr>
      <w:rFonts w:ascii="Courier" w:hAnsi="Courier"/>
    </w:rPr>
  </w:style>
  <w:style w:type="paragraph" w:customStyle="1" w:styleId="Text">
    <w:name w:val="Text"/>
    <w:basedOn w:val="Normal"/>
    <w:rsid w:val="00003B97"/>
    <w:pPr>
      <w:spacing w:before="120" w:line="220" w:lineRule="atLeast"/>
      <w:ind w:firstLine="360"/>
      <w:jc w:val="both"/>
      <w:textAlignment w:val="center"/>
    </w:pPr>
    <w:rPr>
      <w:rFonts w:ascii="Times New Roman" w:hAnsi="Times New Roman" w:cs="Times"/>
      <w:sz w:val="22"/>
      <w:szCs w:val="22"/>
    </w:rPr>
  </w:style>
  <w:style w:type="character" w:styleId="PageNumber">
    <w:name w:val="page number"/>
    <w:basedOn w:val="DefaultParagraphFont"/>
    <w:uiPriority w:val="99"/>
    <w:semiHidden/>
    <w:unhideWhenUsed/>
    <w:rsid w:val="00EC6A07"/>
  </w:style>
  <w:style w:type="character" w:customStyle="1" w:styleId="Heading2Char">
    <w:name w:val="Heading 2 Char"/>
    <w:basedOn w:val="DefaultParagraphFont"/>
    <w:link w:val="Heading2"/>
    <w:uiPriority w:val="9"/>
    <w:rsid w:val="00912D36"/>
    <w:rPr>
      <w:b/>
      <w:bCs/>
      <w:sz w:val="36"/>
      <w:szCs w:val="36"/>
    </w:rPr>
  </w:style>
  <w:style w:type="paragraph" w:styleId="NormalWeb">
    <w:name w:val="Normal (Web)"/>
    <w:basedOn w:val="Normal"/>
    <w:uiPriority w:val="99"/>
    <w:unhideWhenUsed/>
    <w:rsid w:val="00912D36"/>
    <w:pPr>
      <w:widowControl/>
      <w:autoSpaceDE/>
      <w:autoSpaceDN/>
      <w:adjustRightInd/>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CB1D1D"/>
  </w:style>
  <w:style w:type="character" w:customStyle="1" w:styleId="FootnoteTextChar">
    <w:name w:val="Footnote Text Char"/>
    <w:basedOn w:val="DefaultParagraphFont"/>
    <w:link w:val="FootnoteText"/>
    <w:uiPriority w:val="99"/>
    <w:semiHidden/>
    <w:rsid w:val="00CB1D1D"/>
    <w:rPr>
      <w:rFonts w:ascii="Courier" w:hAnsi="Courier"/>
    </w:rPr>
  </w:style>
  <w:style w:type="character" w:styleId="FootnoteReference">
    <w:name w:val="footnote reference"/>
    <w:basedOn w:val="DefaultParagraphFont"/>
    <w:uiPriority w:val="99"/>
    <w:semiHidden/>
    <w:unhideWhenUsed/>
    <w:rsid w:val="00CB1D1D"/>
    <w:rPr>
      <w:vertAlign w:val="superscript"/>
    </w:rPr>
  </w:style>
  <w:style w:type="paragraph" w:styleId="ListParagraph">
    <w:name w:val="List Paragraph"/>
    <w:basedOn w:val="Normal"/>
    <w:uiPriority w:val="34"/>
    <w:qFormat/>
    <w:rsid w:val="00382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48963">
      <w:bodyDiv w:val="1"/>
      <w:marLeft w:val="0"/>
      <w:marRight w:val="0"/>
      <w:marTop w:val="0"/>
      <w:marBottom w:val="0"/>
      <w:divBdr>
        <w:top w:val="none" w:sz="0" w:space="0" w:color="auto"/>
        <w:left w:val="none" w:sz="0" w:space="0" w:color="auto"/>
        <w:bottom w:val="none" w:sz="0" w:space="0" w:color="auto"/>
        <w:right w:val="none" w:sz="0" w:space="0" w:color="auto"/>
      </w:divBdr>
      <w:divsChild>
        <w:div w:id="1139955817">
          <w:blockQuote w:val="1"/>
          <w:marLeft w:val="0"/>
          <w:marRight w:val="0"/>
          <w:marTop w:val="240"/>
          <w:marBottom w:val="240"/>
          <w:divBdr>
            <w:top w:val="none" w:sz="0" w:space="0" w:color="auto"/>
            <w:left w:val="none" w:sz="0" w:space="0" w:color="auto"/>
            <w:bottom w:val="none" w:sz="0" w:space="0" w:color="auto"/>
            <w:right w:val="none" w:sz="0" w:space="0" w:color="auto"/>
          </w:divBdr>
        </w:div>
        <w:div w:id="1356077514">
          <w:blockQuote w:val="1"/>
          <w:marLeft w:val="0"/>
          <w:marRight w:val="0"/>
          <w:marTop w:val="240"/>
          <w:marBottom w:val="240"/>
          <w:divBdr>
            <w:top w:val="none" w:sz="0" w:space="0" w:color="auto"/>
            <w:left w:val="none" w:sz="0" w:space="0" w:color="auto"/>
            <w:bottom w:val="none" w:sz="0" w:space="0" w:color="auto"/>
            <w:right w:val="none" w:sz="0" w:space="0" w:color="auto"/>
          </w:divBdr>
        </w:div>
        <w:div w:id="1821926023">
          <w:blockQuote w:val="1"/>
          <w:marLeft w:val="0"/>
          <w:marRight w:val="0"/>
          <w:marTop w:val="240"/>
          <w:marBottom w:val="240"/>
          <w:divBdr>
            <w:top w:val="none" w:sz="0" w:space="0" w:color="auto"/>
            <w:left w:val="none" w:sz="0" w:space="0" w:color="auto"/>
            <w:bottom w:val="none" w:sz="0" w:space="0" w:color="auto"/>
            <w:right w:val="none" w:sz="0" w:space="0" w:color="auto"/>
          </w:divBdr>
        </w:div>
        <w:div w:id="1960415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us.lexis.com/api/document?collection=statutes-legislation&amp;id=urn:contentItem:8S7X-DF02-8T6X-73Y6-00000-00&amp;context=1530671" TargetMode="External"/><Relationship Id="rId21" Type="http://schemas.openxmlformats.org/officeDocument/2006/relationships/hyperlink" Target="https://plus.lexis.com/api/document?collection=cases&amp;id=urn:contentItem:423R-XWY0-0038-X425-00000-00&amp;context=1530671" TargetMode="External"/><Relationship Id="rId42" Type="http://schemas.openxmlformats.org/officeDocument/2006/relationships/hyperlink" Target="https://plus.lexis.com/api/document?collection=cases&amp;id=urn:contentItem:3RHM-JB30-001T-D06V-00000-00&amp;context=1530671" TargetMode="External"/><Relationship Id="rId47" Type="http://schemas.openxmlformats.org/officeDocument/2006/relationships/hyperlink" Target="https://plus.lexis.com/api/document?collection=analytical-materials&amp;id=urn:contentItem:5TG0-DP20-02C9-C0NN-00000-00&amp;context=1530671" TargetMode="External"/><Relationship Id="rId63" Type="http://schemas.openxmlformats.org/officeDocument/2006/relationships/hyperlink" Target="https://plus.lexis.com/api/document?collection=cases&amp;id=urn:contentItem:5WS5-WPX1-JSRM-61FS-00000-00&amp;context=1530671" TargetMode="External"/><Relationship Id="rId68" Type="http://schemas.openxmlformats.org/officeDocument/2006/relationships/hyperlink" Target="https://plus.lexis.com/api/document?collection=cases&amp;id=urn:contentItem:42RF-GNG0-0038-X2SW-00000-00&amp;context=1530671" TargetMode="External"/><Relationship Id="rId7" Type="http://schemas.openxmlformats.org/officeDocument/2006/relationships/hyperlink" Target="https://plus.lexis.com/api/document?collection=statutes-legislation&amp;id=urn:contentItem:8S7X-DF02-8T6X-73XY-00000-00&amp;context=1530671"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us.lexis.com/api/document?collection=statutes-legislation&amp;id=urn:contentItem:8S8T-0NK2-8T6X-70NX-00000-00&amp;context=1530671" TargetMode="External"/><Relationship Id="rId29" Type="http://schemas.openxmlformats.org/officeDocument/2006/relationships/hyperlink" Target="https://plus.lexis.com/api/document?collection=statutes-legislation&amp;id=urn:contentItem:8S8T-0NK2-8T6X-70NX-00000-00&amp;context=1530671" TargetMode="External"/><Relationship Id="rId11" Type="http://schemas.openxmlformats.org/officeDocument/2006/relationships/hyperlink" Target="https://plus.lexis.com/api/document?collection=statutes-legislation&amp;id=urn:contentItem:8S7X-DF02-8T6X-73Y6-00000-00&amp;context=1530671" TargetMode="External"/><Relationship Id="rId24" Type="http://schemas.openxmlformats.org/officeDocument/2006/relationships/hyperlink" Target="https://plus.lexis.com/api/document?collection=cases&amp;id=urn:contentItem:3RHM-JB30-001T-D06V-00000-00&amp;context=1530671" TargetMode="External"/><Relationship Id="rId32" Type="http://schemas.openxmlformats.org/officeDocument/2006/relationships/hyperlink" Target="https://plus.lexis.com/api/document?collection=cases&amp;id=urn:contentItem:3S4N-CCW0-003B-V3R5-00000-00&amp;context=1530671" TargetMode="External"/><Relationship Id="rId37" Type="http://schemas.openxmlformats.org/officeDocument/2006/relationships/hyperlink" Target="https://plus.lexis.com/api/document?collection=cases&amp;id=urn:contentItem:3S4X-CB30-003B-H4MG-00000-00&amp;context=1530671" TargetMode="External"/><Relationship Id="rId40" Type="http://schemas.openxmlformats.org/officeDocument/2006/relationships/hyperlink" Target="https://plus.lexis.com/api/document?collection=cases&amp;id=urn:contentItem:5J2H-68Y1-F04K-J0K5-00000-00&amp;context=1530671" TargetMode="External"/><Relationship Id="rId45" Type="http://schemas.openxmlformats.org/officeDocument/2006/relationships/hyperlink" Target="https://plus.lexis.com/api/document?collection=analytical-materials&amp;id=urn:contentItem:5TG0-DP20-02C9-C0NN-00000-00&amp;context=1530671" TargetMode="External"/><Relationship Id="rId53" Type="http://schemas.openxmlformats.org/officeDocument/2006/relationships/hyperlink" Target="https://plus.lexis.com/api/document?collection=cases&amp;id=urn:contentItem:4T4X-J2T0-TX4N-G0XC-00000-00&amp;context=1530671" TargetMode="External"/><Relationship Id="rId58" Type="http://schemas.openxmlformats.org/officeDocument/2006/relationships/hyperlink" Target="https://plus.lexis.com/api/document?collection=cases&amp;id=urn:contentItem:5J2H-68Y1-F04K-J0K5-00000-00&amp;context=1530671" TargetMode="External"/><Relationship Id="rId66" Type="http://schemas.openxmlformats.org/officeDocument/2006/relationships/hyperlink" Target="https://plus.lexis.com/api/document?collection=cases&amp;id=urn:contentItem:5RGS-CFB1-FD4T-B3SB-00000-00&amp;context=1530671" TargetMode="External"/><Relationship Id="rId5" Type="http://schemas.openxmlformats.org/officeDocument/2006/relationships/footnotes" Target="footnotes.xml"/><Relationship Id="rId61" Type="http://schemas.openxmlformats.org/officeDocument/2006/relationships/hyperlink" Target="https://plus.lexis.com/api/document?collection=cases&amp;id=urn:contentItem:7YB9-C6C1-652R-01M7-00000-00&amp;context=1530671" TargetMode="External"/><Relationship Id="rId19" Type="http://schemas.openxmlformats.org/officeDocument/2006/relationships/hyperlink" Target="https://plus.lexis.com/api/document?collection=statutes-legislation&amp;id=urn:contentItem:5GYC-22N1-6N19-F032-00000-00&amp;context=1530671" TargetMode="External"/><Relationship Id="rId14" Type="http://schemas.openxmlformats.org/officeDocument/2006/relationships/hyperlink" Target="https://plus.lexis.com/api/document?collection=cases&amp;id=urn:contentItem:59W5-TN21-F04F-02HF-00000-00&amp;context=1530671" TargetMode="External"/><Relationship Id="rId22" Type="http://schemas.openxmlformats.org/officeDocument/2006/relationships/hyperlink" Target="https://plus.lexis.com/api/document?collection=cases&amp;id=urn:contentItem:3RHM-JB30-001T-D06V-00000-00&amp;context=1530671" TargetMode="External"/><Relationship Id="rId27" Type="http://schemas.openxmlformats.org/officeDocument/2006/relationships/hyperlink" Target="https://plus.lexis.com/api/document?collection=statutes-legislation&amp;id=urn:contentItem:8S7X-DF02-8T6X-73YF-00000-00&amp;context=1530671" TargetMode="External"/><Relationship Id="rId30" Type="http://schemas.openxmlformats.org/officeDocument/2006/relationships/hyperlink" Target="https://plus.lexis.com/api/document?collection=statutes-legislation&amp;id=urn:contentItem:8S8T-0NK2-8T6X-70NX-00000-00&amp;context=1530671" TargetMode="External"/><Relationship Id="rId35" Type="http://schemas.openxmlformats.org/officeDocument/2006/relationships/hyperlink" Target="https://plus.lexis.com/api/document?collection=cases&amp;id=urn:contentItem:3RHM-JB30-001T-D06V-00000-00&amp;context=1530671" TargetMode="External"/><Relationship Id="rId43" Type="http://schemas.openxmlformats.org/officeDocument/2006/relationships/hyperlink" Target="https://plus.lexis.com/api/document?collection=statutes-legislation&amp;id=urn:contentItem:8S7X-DF02-8T6X-73XY-00000-00&amp;context=1530671" TargetMode="External"/><Relationship Id="rId48" Type="http://schemas.openxmlformats.org/officeDocument/2006/relationships/hyperlink" Target="https://plus.lexis.com/api/document?collection=analytical-materials&amp;id=urn:contentItem:5TG0-DP20-02C9-C0NN-00000-00&amp;context=1530671" TargetMode="External"/><Relationship Id="rId56" Type="http://schemas.openxmlformats.org/officeDocument/2006/relationships/hyperlink" Target="https://plus.lexis.com/api/document?collection=statutes-legislation&amp;id=urn:contentItem:8S7X-DF02-8T6X-73YF-00000-00&amp;context=1530671" TargetMode="External"/><Relationship Id="rId64" Type="http://schemas.openxmlformats.org/officeDocument/2006/relationships/hyperlink" Target="https://plus.lexis.com/api/document?collection=statutes-legislation&amp;id=urn:contentItem:8S7X-DF02-8T6X-73YF-00000-00&amp;context=1530671" TargetMode="External"/><Relationship Id="rId69" Type="http://schemas.openxmlformats.org/officeDocument/2006/relationships/hyperlink" Target="https://plus.lexis.com/api/document?collection=cases&amp;id=urn:contentItem:3S4X-BHN0-003B-52B8-00000-00&amp;context=1530671" TargetMode="External"/><Relationship Id="rId8" Type="http://schemas.openxmlformats.org/officeDocument/2006/relationships/hyperlink" Target="https://plus.lexis.com/api/document?collection=statutes-legislation&amp;id=urn:contentItem:8S7X-DF02-8T6X-73Y6-00000-00&amp;context=1530671" TargetMode="External"/><Relationship Id="rId51" Type="http://schemas.openxmlformats.org/officeDocument/2006/relationships/hyperlink" Target="https://plus.lexis.com/api/document?collection=statutes-legislation&amp;id=urn:contentItem:8S7X-DF02-8T6X-73XY-00000-00&amp;context=1530671"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plus.lexis.com/api/document?collection=statutes-legislation&amp;id=urn:contentItem:8S8T-0NK2-8T6X-70NX-00000-00&amp;context=1530671" TargetMode="External"/><Relationship Id="rId17" Type="http://schemas.openxmlformats.org/officeDocument/2006/relationships/hyperlink" Target="https://plus.lexis.com/api/document?collection=statutes-legislation&amp;id=urn:contentItem:8S8T-0NK2-8T6X-70NX-00000-00&amp;context=1530671" TargetMode="External"/><Relationship Id="rId25" Type="http://schemas.openxmlformats.org/officeDocument/2006/relationships/hyperlink" Target="https://plus.lexis.com/api/document?collection=statutes-legislation&amp;id=urn:contentItem:8S7X-DF02-8T6X-73Y6-00000-00&amp;context=1530671" TargetMode="External"/><Relationship Id="rId33" Type="http://schemas.openxmlformats.org/officeDocument/2006/relationships/hyperlink" Target="https://plus.lexis.com/api/document?collection=cases&amp;id=urn:contentItem:3RHM-JB30-001T-D06V-00000-00&amp;context=1530671" TargetMode="External"/><Relationship Id="rId38" Type="http://schemas.openxmlformats.org/officeDocument/2006/relationships/hyperlink" Target="https://plus.lexis.com/api/document?collection=cases&amp;id=urn:contentItem:49M1-4F70-0038-X2SN-00000-00&amp;context=1530671" TargetMode="External"/><Relationship Id="rId46" Type="http://schemas.openxmlformats.org/officeDocument/2006/relationships/hyperlink" Target="https://plus.lexis.com/api/document?collection=analytical-materials&amp;id=urn:contentItem:5TG0-DP20-02C9-C0NN-00000-00&amp;context=1530671" TargetMode="External"/><Relationship Id="rId59" Type="http://schemas.openxmlformats.org/officeDocument/2006/relationships/hyperlink" Target="https://plus.lexis.com/api/document?collection=statutes-legislation&amp;id=urn:contentItem:8S8T-0NK2-8T6X-70NX-00000-00&amp;context=1530671" TargetMode="External"/><Relationship Id="rId67" Type="http://schemas.openxmlformats.org/officeDocument/2006/relationships/hyperlink" Target="https://plus.lexis.com/api/document?collection=cases&amp;id=urn:contentItem:7YB9-C6C1-652R-01M7-00000-00&amp;context=1530671" TargetMode="External"/><Relationship Id="rId20" Type="http://schemas.openxmlformats.org/officeDocument/2006/relationships/hyperlink" Target="https://plus.lexis.com/api/document?collection=statutes-legislation&amp;id=urn:contentItem:5GYC-2421-6N19-F16C-00000-00&amp;context=1530671" TargetMode="External"/><Relationship Id="rId41" Type="http://schemas.openxmlformats.org/officeDocument/2006/relationships/hyperlink" Target="https://plus.lexis.com/api/document?collection=cases&amp;id=urn:contentItem:3S4X-JT20-003B-S4D4-00000-00&amp;context=1530671" TargetMode="External"/><Relationship Id="rId54" Type="http://schemas.openxmlformats.org/officeDocument/2006/relationships/hyperlink" Target="https://plus.lexis.com/api/document?collection=statutes-legislation&amp;id=urn:contentItem:8S7X-DF02-8T6X-73YF-00000-00&amp;context=1530671" TargetMode="External"/><Relationship Id="rId62" Type="http://schemas.openxmlformats.org/officeDocument/2006/relationships/hyperlink" Target="https://plus.lexis.com/api/document?collection=cases&amp;id=urn:contentItem:7YB9-C6C1-652R-01M7-00000-00&amp;context=1530671"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us.lexis.com/api/document?collection=cases&amp;id=urn:contentItem:59W5-TN21-F04F-02HF-00000-00&amp;context=1530671" TargetMode="External"/><Relationship Id="rId23" Type="http://schemas.openxmlformats.org/officeDocument/2006/relationships/hyperlink" Target="https://plus.lexis.com/api/document?collection=statutes-legislation&amp;id=urn:contentItem:8S7X-DF02-8T6X-73Y6-00000-00&amp;context=1530671" TargetMode="External"/><Relationship Id="rId28" Type="http://schemas.openxmlformats.org/officeDocument/2006/relationships/hyperlink" Target="https://plus.lexis.com/api/document?collection=statutes-legislation&amp;id=urn:contentItem:8S7X-DF02-8T6X-73YF-00000-00&amp;context=1530671" TargetMode="External"/><Relationship Id="rId36" Type="http://schemas.openxmlformats.org/officeDocument/2006/relationships/hyperlink" Target="https://plus.lexis.com/api/document?collection=analytical-materials&amp;id=urn:contentItem:408J-W8D0-00CV-60R9-00000-00&amp;context=1530671" TargetMode="External"/><Relationship Id="rId49" Type="http://schemas.openxmlformats.org/officeDocument/2006/relationships/hyperlink" Target="https://plus.lexis.com/api/document?collection=statutes-legislation&amp;id=urn:contentItem:8S7X-DF02-8T6X-73Y6-00000-00&amp;context=1530671" TargetMode="External"/><Relationship Id="rId57" Type="http://schemas.openxmlformats.org/officeDocument/2006/relationships/hyperlink" Target="https://plus.lexis.com/api/document?collection=cases&amp;id=urn:contentItem:3S4N-CCW0-003B-V3R5-00000-00&amp;context=1530671" TargetMode="External"/><Relationship Id="rId10" Type="http://schemas.openxmlformats.org/officeDocument/2006/relationships/hyperlink" Target="https://plus.lexis.com/api/document?collection=statutes-legislation&amp;id=urn:contentItem:8S7X-DF02-8T6X-73Y6-00000-00&amp;context=1530671" TargetMode="External"/><Relationship Id="rId31" Type="http://schemas.openxmlformats.org/officeDocument/2006/relationships/hyperlink" Target="https://plus.lexis.com/api/document?collection=statutes-legislation&amp;id=urn:contentItem:8S7X-DF02-8T6X-73Y6-00000-00&amp;context=1530671" TargetMode="External"/><Relationship Id="rId44" Type="http://schemas.openxmlformats.org/officeDocument/2006/relationships/hyperlink" Target="https://plus.lexis.com/api/document?collection=analytical-materials&amp;id=urn:contentItem:5TG0-DP20-02C9-C0NN-00000-00&amp;context=1530671" TargetMode="External"/><Relationship Id="rId52" Type="http://schemas.openxmlformats.org/officeDocument/2006/relationships/hyperlink" Target="https://plus.lexis.com/api/document?collection=statutes-legislation&amp;id=urn:contentItem:8S7X-DF02-8T6X-73Y0-00000-00&amp;context=1530671" TargetMode="External"/><Relationship Id="rId60" Type="http://schemas.openxmlformats.org/officeDocument/2006/relationships/hyperlink" Target="https://plus.lexis.com/api/document?collection=cases&amp;id=urn:contentItem:7YB9-C6C1-652R-01M7-00000-00&amp;context=1530671" TargetMode="External"/><Relationship Id="rId65" Type="http://schemas.openxmlformats.org/officeDocument/2006/relationships/hyperlink" Target="https://plus.lexis.com/api/document?collection=cases&amp;id=urn:contentItem:7YB9-C6C1-652R-01M7-00000-00&amp;context=1530671" TargetMode="External"/><Relationship Id="rId4" Type="http://schemas.openxmlformats.org/officeDocument/2006/relationships/webSettings" Target="webSettings.xml"/><Relationship Id="rId9" Type="http://schemas.openxmlformats.org/officeDocument/2006/relationships/hyperlink" Target="https://plus.lexis.com/api/document?collection=statutes-legislation&amp;id=urn:contentItem:8S7X-DF02-8T6X-73Y6-00000-00&amp;context=1530671" TargetMode="External"/><Relationship Id="rId13" Type="http://schemas.openxmlformats.org/officeDocument/2006/relationships/hyperlink" Target="https://plus.lexis.com/api/document?collection=statutes-legislation&amp;id=urn:contentItem:8S8T-0NK2-8T6X-70NX-00000-00&amp;context=1530671" TargetMode="External"/><Relationship Id="rId18" Type="http://schemas.openxmlformats.org/officeDocument/2006/relationships/hyperlink" Target="https://plus.lexis.com/api/document?collection=statutes-legislation&amp;id=urn:contentItem:8S7X-DF02-8T6X-73YF-00000-00&amp;context=1530671" TargetMode="External"/><Relationship Id="rId39" Type="http://schemas.openxmlformats.org/officeDocument/2006/relationships/hyperlink" Target="https://plus.lexis.com/api/document?collection=analytical-materials&amp;id=urn:contentItem:5WS6-0VX1-F65M-645D-00000-00&amp;context=1530671" TargetMode="External"/><Relationship Id="rId34" Type="http://schemas.openxmlformats.org/officeDocument/2006/relationships/hyperlink" Target="https://plus.lexis.com/api/document?collection=cases&amp;id=urn:contentItem:3X9R-M5W0-0038-X19C-00000-00&amp;context=1530671" TargetMode="External"/><Relationship Id="rId50" Type="http://schemas.openxmlformats.org/officeDocument/2006/relationships/hyperlink" Target="https://plus.lexis.com/api/document?collection=statutes-legislation&amp;id=urn:contentItem:8S7X-DF02-8T6X-73Y6-00000-00&amp;context=1530671" TargetMode="External"/><Relationship Id="rId55" Type="http://schemas.openxmlformats.org/officeDocument/2006/relationships/hyperlink" Target="https://plus.lexis.com/api/document?collection=statutes-legislation&amp;id=urn:contentItem:8S7X-DF02-8T6X-73YF-00000-00&amp;context=153067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lus.lexis.com/api/document?collection=cases&amp;id=urn:contentItem:4C24-M170-0038-Y3KV-00000-00&amp;context=1530671" TargetMode="External"/><Relationship Id="rId2" Type="http://schemas.openxmlformats.org/officeDocument/2006/relationships/hyperlink" Target="https://plus.lexis.com/api/document?collection=cases&amp;id=urn:contentItem:5KD1-X121-F04K-J427-00000-00&amp;context=1530671" TargetMode="External"/><Relationship Id="rId1" Type="http://schemas.openxmlformats.org/officeDocument/2006/relationships/hyperlink" Target="https://plus.lexis.com/api/document?collection=cases&amp;id=urn:contentItem:3RHM-JB30-001T-D06V-00000-00&amp;context=1530671" TargetMode="External"/><Relationship Id="rId5" Type="http://schemas.openxmlformats.org/officeDocument/2006/relationships/hyperlink" Target="https://plus.lexis.com/api/document?collection=cases&amp;id=urn:contentItem:3S4N-CCW0-003B-V3R5-00000-00&amp;context=1530671" TargetMode="External"/><Relationship Id="rId4" Type="http://schemas.openxmlformats.org/officeDocument/2006/relationships/hyperlink" Target="https://plus.lexis.com/api/document?collection=cases&amp;id=urn:contentItem:3RX6-F960-003D-J34D-00000-00&amp;context=1530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7312</Words>
  <Characters>41680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Terry Fisher</cp:lastModifiedBy>
  <cp:revision>6</cp:revision>
  <cp:lastPrinted>2021-12-28T16:21:00Z</cp:lastPrinted>
  <dcterms:created xsi:type="dcterms:W3CDTF">2021-12-28T16:22:00Z</dcterms:created>
  <dcterms:modified xsi:type="dcterms:W3CDTF">2021-12-28T16:37:00Z</dcterms:modified>
</cp:coreProperties>
</file>